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adjustRightInd w:val="0"/>
        <w:snapToGrid w:val="0"/>
        <w:spacing w:line="560" w:lineRule="exact"/>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贺州市八步区秀联水电站竣工验收技术</w:t>
      </w:r>
    </w:p>
    <w:p>
      <w:pPr>
        <w:adjustRightInd w:val="0"/>
        <w:snapToGrid w:val="0"/>
        <w:spacing w:line="560" w:lineRule="exact"/>
        <w:jc w:val="center"/>
        <w:rPr>
          <w:rFonts w:ascii="仿宋_GB2312" w:hAnsi="仿宋_GB2312" w:eastAsia="仿宋_GB2312" w:cs="仿宋_GB2312"/>
          <w:b/>
          <w:bCs/>
          <w:color w:val="000000" w:themeColor="text1"/>
          <w:sz w:val="44"/>
          <w:szCs w:val="32"/>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安全鉴定报告书</w:t>
      </w:r>
    </w:p>
    <w:p>
      <w:pPr>
        <w:spacing w:before="156" w:beforeLines="50" w:line="560" w:lineRule="exact"/>
        <w:rPr>
          <w:rFonts w:ascii="仿宋_GB2312" w:hAnsi="仿宋_GB2312" w:eastAsia="仿宋_GB2312" w:cs="仿宋_GB2312"/>
          <w:bCs/>
          <w:color w:val="000000" w:themeColor="text1"/>
          <w:sz w:val="32"/>
          <w:szCs w:val="32"/>
          <w14:textFill>
            <w14:solidFill>
              <w14:schemeClr w14:val="tx1"/>
            </w14:solidFill>
          </w14:textFill>
        </w:rPr>
      </w:pPr>
    </w:p>
    <w:p>
      <w:pPr>
        <w:spacing w:before="156" w:beforeLines="50" w:line="560" w:lineRule="exact"/>
        <w:rPr>
          <w:rFonts w:ascii="仿宋_GB2312" w:hAnsi="仿宋_GB2312" w:eastAsia="仿宋_GB2312" w:cs="仿宋_GB2312"/>
          <w:bCs/>
          <w:color w:val="000000" w:themeColor="text1"/>
          <w:sz w:val="32"/>
          <w:szCs w:val="32"/>
          <w14:textFill>
            <w14:solidFill>
              <w14:schemeClr w14:val="tx1"/>
            </w14:solidFill>
          </w14:textFill>
        </w:rPr>
      </w:pPr>
    </w:p>
    <w:p>
      <w:pPr>
        <w:spacing w:before="156" w:beforeLines="50" w:line="560" w:lineRule="exact"/>
        <w:jc w:val="center"/>
        <w:rPr>
          <w:rFonts w:ascii="仿宋_GB2312" w:hAnsi="仿宋_GB2312" w:eastAsia="仿宋_GB2312" w:cs="仿宋_GB2312"/>
          <w:bCs/>
          <w:color w:val="000000" w:themeColor="text1"/>
          <w:sz w:val="32"/>
          <w:szCs w:val="32"/>
          <w14:textFill>
            <w14:solidFill>
              <w14:schemeClr w14:val="tx1"/>
            </w14:solidFill>
          </w14:textFill>
        </w:rPr>
      </w:pPr>
    </w:p>
    <w:p>
      <w:pPr>
        <w:pStyle w:val="2"/>
      </w:pPr>
    </w:p>
    <w:p>
      <w:pPr>
        <w:adjustRightInd w:val="0"/>
        <w:snapToGrid w:val="0"/>
        <w:spacing w:line="560" w:lineRule="exact"/>
        <w:jc w:val="center"/>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jc w:val="center"/>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jc w:val="center"/>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jc w:val="center"/>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jc w:val="center"/>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jc w:val="center"/>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jc w:val="center"/>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rPr>
          <w:rFonts w:ascii="仿宋_GB2312" w:hAnsi="仿宋_GB2312" w:eastAsia="仿宋_GB2312" w:cs="仿宋_GB2312"/>
          <w:bCs/>
          <w:color w:val="000000" w:themeColor="text1"/>
          <w:sz w:val="32"/>
          <w:szCs w:val="32"/>
          <w14:textFill>
            <w14:solidFill>
              <w14:schemeClr w14:val="tx1"/>
            </w14:solidFill>
          </w14:textFill>
        </w:rPr>
      </w:pPr>
    </w:p>
    <w:p>
      <w:pPr>
        <w:jc w:val="center"/>
        <w:rPr>
          <w:rFonts w:hint="default" w:ascii="Times New Roman" w:hAnsi="Times New Roman" w:eastAsia="仿宋_GB2312" w:cs="Times New Roman"/>
          <w:bCs/>
          <w:color w:val="000000" w:themeColor="text1"/>
          <w:spacing w:val="0"/>
          <w:sz w:val="32"/>
          <w:szCs w:val="32"/>
          <w14:textFill>
            <w14:solidFill>
              <w14:schemeClr w14:val="tx1"/>
            </w14:solidFill>
          </w14:textFill>
        </w:rPr>
      </w:pPr>
      <w:r>
        <w:rPr>
          <w:rFonts w:hint="eastAsia" w:ascii="Times New Roman" w:hAnsi="Times New Roman" w:eastAsia="仿宋_GB2312" w:cs="Times New Roman"/>
          <w:bCs/>
          <w:color w:val="000000" w:themeColor="text1"/>
          <w:spacing w:val="57"/>
          <w:sz w:val="32"/>
          <w:szCs w:val="32"/>
          <w:lang w:val="en-US" w:eastAsia="zh-CN"/>
          <w14:textFill>
            <w14:solidFill>
              <w14:schemeClr w14:val="tx1"/>
            </w14:solidFill>
          </w14:textFill>
        </w:rPr>
        <w:t xml:space="preserve"> </w:t>
      </w:r>
      <w:r>
        <w:rPr>
          <w:rFonts w:hint="eastAsia" w:ascii="Times New Roman" w:hAnsi="Times New Roman" w:eastAsia="仿宋_GB2312"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电</w:t>
      </w:r>
      <w:r>
        <w:rPr>
          <w:rFonts w:hint="eastAsia" w:ascii="Times New Roman" w:hAnsi="Times New Roman" w:eastAsia="仿宋_GB2312"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站</w:t>
      </w:r>
      <w:r>
        <w:rPr>
          <w:rFonts w:hint="eastAsia" w:ascii="Times New Roman" w:hAnsi="Times New Roman" w:eastAsia="仿宋_GB2312"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名</w:t>
      </w:r>
      <w:r>
        <w:rPr>
          <w:rFonts w:hint="eastAsia" w:ascii="Times New Roman" w:hAnsi="Times New Roman" w:eastAsia="仿宋_GB2312"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称</w:t>
      </w:r>
      <w:r>
        <w:rPr>
          <w:rFonts w:hint="eastAsia" w:ascii="Times New Roman" w:hAnsi="Times New Roman" w:eastAsia="仿宋_GB2312" w:cs="Times New Roman"/>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Cs/>
          <w:color w:val="000000" w:themeColor="text1"/>
          <w:spacing w:val="0"/>
          <w:sz w:val="32"/>
          <w:szCs w:val="32"/>
          <w14:textFill>
            <w14:solidFill>
              <w14:schemeClr w14:val="tx1"/>
            </w14:solidFill>
          </w14:textFill>
        </w:rPr>
        <w:t>贺州市八步区石古冲二期水电站</w:t>
      </w:r>
    </w:p>
    <w:p>
      <w:pPr>
        <w:ind w:firstLine="1280" w:firstLineChars="400"/>
        <w:jc w:val="both"/>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鉴定审定部门：</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贺州市</w:t>
      </w:r>
      <w:r>
        <w:rPr>
          <w:rFonts w:hint="default" w:ascii="Times New Roman" w:hAnsi="Times New Roman" w:eastAsia="仿宋_GB2312" w:cs="Times New Roman"/>
          <w:bCs/>
          <w:color w:val="000000" w:themeColor="text1"/>
          <w:sz w:val="32"/>
          <w:szCs w:val="32"/>
          <w14:textFill>
            <w14:solidFill>
              <w14:schemeClr w14:val="tx1"/>
            </w14:solidFill>
          </w14:textFill>
        </w:rPr>
        <w:t>八步区水利局</w:t>
      </w:r>
    </w:p>
    <w:p>
      <w:pPr>
        <w:ind w:firstLine="1280" w:firstLineChars="400"/>
        <w:jc w:val="both"/>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鉴  定 时 间：2023年5月22日电</w:t>
      </w:r>
    </w:p>
    <w:p>
      <w:pPr>
        <w:jc w:val="center"/>
        <w:rPr>
          <w:rFonts w:hint="default" w:ascii="Times New Roman" w:hAnsi="Times New Roman" w:eastAsia="仿宋_GB2312" w:cs="Times New Roman"/>
          <w:bCs/>
          <w:color w:val="000000" w:themeColor="text1"/>
          <w:sz w:val="32"/>
          <w:szCs w:val="32"/>
          <w14:textFill>
            <w14:solidFill>
              <w14:schemeClr w14:val="tx1"/>
            </w14:solidFill>
          </w14:textFill>
        </w:rPr>
        <w:sectPr>
          <w:footerReference r:id="rId3" w:type="default"/>
          <w:pgSz w:w="11906" w:h="16838"/>
          <w:pgMar w:top="2098" w:right="1587" w:bottom="1247" w:left="1587" w:header="851" w:footer="992" w:gutter="0"/>
          <w:pgBorders>
            <w:top w:val="none" w:sz="0" w:space="0"/>
            <w:left w:val="none" w:sz="0" w:space="0"/>
            <w:bottom w:val="none" w:sz="0" w:space="0"/>
            <w:right w:val="none" w:sz="0" w:space="0"/>
          </w:pgBorders>
          <w:pgNumType w:fmt="decimal"/>
          <w:cols w:space="0" w:num="1"/>
          <w:rtlGutter w:val="0"/>
          <w:docGrid w:type="lines" w:linePitch="326" w:charSpace="0"/>
        </w:sectPr>
      </w:pPr>
    </w:p>
    <w:tbl>
      <w:tblPr>
        <w:tblStyle w:val="17"/>
        <w:tblW w:w="0" w:type="auto"/>
        <w:jc w:val="center"/>
        <w:shd w:val="clear" w:color="auto" w:fill="auto"/>
        <w:tblLayout w:type="autofit"/>
        <w:tblCellMar>
          <w:top w:w="0" w:type="dxa"/>
          <w:left w:w="10" w:type="dxa"/>
          <w:bottom w:w="0" w:type="dxa"/>
          <w:right w:w="10" w:type="dxa"/>
        </w:tblCellMar>
      </w:tblPr>
      <w:tblGrid>
        <w:gridCol w:w="710"/>
        <w:gridCol w:w="787"/>
        <w:gridCol w:w="2964"/>
        <w:gridCol w:w="1869"/>
        <w:gridCol w:w="2618"/>
      </w:tblGrid>
      <w:tr>
        <w:tblPrEx>
          <w:shd w:val="clear" w:color="auto" w:fill="auto"/>
          <w:tblCellMar>
            <w:top w:w="0" w:type="dxa"/>
            <w:left w:w="10" w:type="dxa"/>
            <w:bottom w:w="0" w:type="dxa"/>
            <w:right w:w="10" w:type="dxa"/>
          </w:tblCellMar>
        </w:tblPrEx>
        <w:trPr>
          <w:trHeight w:val="90" w:hRule="atLeast"/>
          <w:jc w:val="center"/>
        </w:trPr>
        <w:tc>
          <w:tcPr>
            <w:tcW w:w="1502"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lang w:eastAsia="zh-CN"/>
              </w:rPr>
              <w:t>电</w:t>
            </w:r>
            <w:r>
              <w:rPr>
                <w:rFonts w:ascii="宋体" w:hAnsi="宋体" w:eastAsia="宋体" w:cs="宋体"/>
                <w:sz w:val="24"/>
                <w:szCs w:val="24"/>
              </w:rPr>
              <w:t>站名称</w:t>
            </w:r>
          </w:p>
        </w:tc>
        <w:tc>
          <w:tcPr>
            <w:tcW w:w="300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sz w:val="24"/>
                <w:szCs w:val="24"/>
              </w:rPr>
            </w:pPr>
            <w:r>
              <w:rPr>
                <w:rFonts w:hint="eastAsia" w:ascii="宋体" w:hAnsi="宋体" w:eastAsia="宋体" w:cs="宋体"/>
                <w:sz w:val="24"/>
                <w:szCs w:val="24"/>
              </w:rPr>
              <w:t>贺州市八步区石古冲</w:t>
            </w:r>
          </w:p>
          <w:p>
            <w:pPr>
              <w:jc w:val="center"/>
              <w:rPr>
                <w:rFonts w:ascii="宋体" w:hAnsi="宋体" w:eastAsia="宋体" w:cs="宋体"/>
                <w:sz w:val="24"/>
                <w:szCs w:val="24"/>
              </w:rPr>
            </w:pPr>
            <w:r>
              <w:rPr>
                <w:rFonts w:hint="eastAsia" w:ascii="宋体" w:hAnsi="宋体" w:eastAsia="宋体" w:cs="宋体"/>
                <w:sz w:val="24"/>
                <w:szCs w:val="24"/>
              </w:rPr>
              <w:t>二期水电站</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sz w:val="24"/>
                <w:szCs w:val="24"/>
              </w:rPr>
            </w:pPr>
            <w:r>
              <w:rPr>
                <w:rFonts w:ascii="宋体" w:hAnsi="宋体" w:eastAsia="宋体" w:cs="宋体"/>
                <w:sz w:val="24"/>
                <w:szCs w:val="24"/>
              </w:rPr>
              <w:t>所在地点</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sz w:val="24"/>
                <w:szCs w:val="24"/>
              </w:rPr>
            </w:pPr>
            <w:r>
              <w:rPr>
                <w:rFonts w:ascii="宋体" w:hAnsi="宋体" w:eastAsia="宋体" w:cs="宋体"/>
                <w:sz w:val="24"/>
                <w:szCs w:val="24"/>
              </w:rPr>
              <w:t>贺州市</w:t>
            </w:r>
            <w:r>
              <w:rPr>
                <w:rFonts w:hint="eastAsia"/>
              </w:rPr>
              <w:t>南乡镇</w:t>
            </w:r>
          </w:p>
        </w:tc>
      </w:tr>
      <w:tr>
        <w:tblPrEx>
          <w:shd w:val="clear" w:color="auto" w:fill="auto"/>
          <w:tblCellMar>
            <w:top w:w="0" w:type="dxa"/>
            <w:left w:w="10" w:type="dxa"/>
            <w:bottom w:w="0" w:type="dxa"/>
            <w:right w:w="10" w:type="dxa"/>
          </w:tblCellMar>
        </w:tblPrEx>
        <w:trPr>
          <w:trHeight w:val="1" w:hRule="atLeast"/>
          <w:jc w:val="center"/>
        </w:trPr>
        <w:tc>
          <w:tcPr>
            <w:tcW w:w="1502"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sz w:val="24"/>
                <w:szCs w:val="24"/>
              </w:rPr>
            </w:pPr>
            <w:r>
              <w:rPr>
                <w:rFonts w:ascii="宋体" w:hAnsi="宋体" w:eastAsia="宋体" w:cs="宋体"/>
                <w:sz w:val="24"/>
                <w:szCs w:val="24"/>
              </w:rPr>
              <w:t>所在河流</w:t>
            </w:r>
          </w:p>
        </w:tc>
        <w:tc>
          <w:tcPr>
            <w:tcW w:w="300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都江河</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sz w:val="24"/>
                <w:szCs w:val="24"/>
              </w:rPr>
            </w:pPr>
            <w:r>
              <w:rPr>
                <w:rFonts w:ascii="宋体" w:hAnsi="宋体" w:eastAsia="宋体" w:cs="宋体"/>
                <w:sz w:val="24"/>
                <w:szCs w:val="24"/>
              </w:rPr>
              <w:t>总库容</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sz w:val="24"/>
                <w:szCs w:val="24"/>
              </w:rPr>
            </w:pPr>
            <w:r>
              <w:rPr>
                <w:rFonts w:ascii="宋体" w:hAnsi="宋体" w:eastAsia="宋体" w:cs="宋体"/>
                <w:sz w:val="24"/>
                <w:szCs w:val="24"/>
              </w:rPr>
              <w:t>无</w:t>
            </w:r>
          </w:p>
        </w:tc>
      </w:tr>
      <w:tr>
        <w:tblPrEx>
          <w:shd w:val="clear" w:color="auto" w:fill="auto"/>
          <w:tblCellMar>
            <w:top w:w="0" w:type="dxa"/>
            <w:left w:w="10" w:type="dxa"/>
            <w:bottom w:w="0" w:type="dxa"/>
            <w:right w:w="10" w:type="dxa"/>
          </w:tblCellMar>
        </w:tblPrEx>
        <w:trPr>
          <w:trHeight w:val="1" w:hRule="atLeast"/>
          <w:jc w:val="center"/>
        </w:trPr>
        <w:tc>
          <w:tcPr>
            <w:tcW w:w="1502"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sz w:val="24"/>
                <w:szCs w:val="24"/>
              </w:rPr>
            </w:pPr>
            <w:r>
              <w:rPr>
                <w:rFonts w:ascii="宋体" w:hAnsi="宋体" w:eastAsia="宋体" w:cs="宋体"/>
                <w:sz w:val="24"/>
                <w:szCs w:val="24"/>
              </w:rPr>
              <w:t>电站管理</w:t>
            </w:r>
          </w:p>
          <w:p>
            <w:pPr>
              <w:jc w:val="center"/>
              <w:rPr>
                <w:rFonts w:ascii="宋体" w:hAnsi="宋体" w:eastAsia="宋体" w:cs="宋体"/>
                <w:sz w:val="24"/>
                <w:szCs w:val="24"/>
              </w:rPr>
            </w:pPr>
            <w:r>
              <w:rPr>
                <w:rFonts w:ascii="宋体" w:hAnsi="宋体" w:eastAsia="宋体" w:cs="宋体"/>
                <w:sz w:val="24"/>
                <w:szCs w:val="24"/>
              </w:rPr>
              <w:t>单位</w:t>
            </w:r>
          </w:p>
        </w:tc>
        <w:tc>
          <w:tcPr>
            <w:tcW w:w="300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sz w:val="24"/>
                <w:szCs w:val="24"/>
              </w:rPr>
            </w:pPr>
            <w:r>
              <w:rPr>
                <w:rFonts w:ascii="宋体" w:hAnsi="宋体" w:eastAsia="宋体" w:cs="宋体"/>
                <w:sz w:val="24"/>
                <w:szCs w:val="24"/>
              </w:rPr>
              <w:t>贺州市</w:t>
            </w:r>
            <w:r>
              <w:rPr>
                <w:rFonts w:hint="eastAsia" w:ascii="宋体" w:hAnsi="宋体" w:eastAsia="宋体" w:cs="宋体"/>
                <w:sz w:val="24"/>
                <w:szCs w:val="24"/>
                <w:lang w:eastAsia="zh-CN"/>
              </w:rPr>
              <w:t>八步区</w:t>
            </w:r>
            <w:r>
              <w:rPr>
                <w:rFonts w:ascii="宋体" w:hAnsi="宋体" w:eastAsia="宋体" w:cs="宋体"/>
                <w:sz w:val="24"/>
                <w:szCs w:val="24"/>
              </w:rPr>
              <w:t>石古冲二期水电站</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sz w:val="24"/>
                <w:szCs w:val="24"/>
              </w:rPr>
            </w:pPr>
            <w:r>
              <w:rPr>
                <w:rFonts w:ascii="宋体" w:hAnsi="宋体" w:eastAsia="宋体" w:cs="宋体"/>
                <w:sz w:val="24"/>
                <w:szCs w:val="24"/>
              </w:rPr>
              <w:t>鉴定组织单位</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sz w:val="24"/>
                <w:szCs w:val="24"/>
              </w:rPr>
            </w:pPr>
            <w:r>
              <w:rPr>
                <w:rFonts w:ascii="宋体" w:hAnsi="宋体" w:eastAsia="宋体" w:cs="宋体"/>
                <w:sz w:val="24"/>
                <w:szCs w:val="24"/>
              </w:rPr>
              <w:t>贺州市八步区农村水利水电管理中心</w:t>
            </w:r>
          </w:p>
        </w:tc>
      </w:tr>
      <w:tr>
        <w:tblPrEx>
          <w:shd w:val="clear" w:color="auto" w:fill="auto"/>
          <w:tblCellMar>
            <w:top w:w="0" w:type="dxa"/>
            <w:left w:w="10" w:type="dxa"/>
            <w:bottom w:w="0" w:type="dxa"/>
            <w:right w:w="10" w:type="dxa"/>
          </w:tblCellMar>
        </w:tblPrEx>
        <w:trPr>
          <w:trHeight w:val="1" w:hRule="atLeast"/>
          <w:jc w:val="center"/>
        </w:trPr>
        <w:tc>
          <w:tcPr>
            <w:tcW w:w="1502"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sz w:val="24"/>
                <w:szCs w:val="24"/>
              </w:rPr>
            </w:pPr>
            <w:r>
              <w:rPr>
                <w:rFonts w:ascii="宋体" w:hAnsi="宋体" w:eastAsia="宋体" w:cs="宋体"/>
                <w:sz w:val="24"/>
                <w:szCs w:val="24"/>
              </w:rPr>
              <w:t>鉴定承担</w:t>
            </w:r>
          </w:p>
          <w:p>
            <w:pPr>
              <w:jc w:val="center"/>
              <w:rPr>
                <w:rFonts w:ascii="宋体" w:hAnsi="宋体" w:eastAsia="宋体" w:cs="宋体"/>
                <w:sz w:val="24"/>
                <w:szCs w:val="24"/>
              </w:rPr>
            </w:pPr>
            <w:r>
              <w:rPr>
                <w:rFonts w:ascii="宋体" w:hAnsi="宋体" w:eastAsia="宋体" w:cs="宋体"/>
                <w:sz w:val="24"/>
                <w:szCs w:val="24"/>
              </w:rPr>
              <w:t>单位</w:t>
            </w:r>
          </w:p>
        </w:tc>
        <w:tc>
          <w:tcPr>
            <w:tcW w:w="300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sz w:val="24"/>
                <w:szCs w:val="24"/>
              </w:rPr>
            </w:pPr>
            <w:r>
              <w:rPr>
                <w:rFonts w:ascii="宋体" w:hAnsi="宋体" w:eastAsia="宋体" w:cs="宋体"/>
                <w:sz w:val="24"/>
                <w:szCs w:val="24"/>
              </w:rPr>
              <w:t>四会市宏禹水利水电勘测设计有限公司</w:t>
            </w:r>
          </w:p>
        </w:tc>
        <w:tc>
          <w:tcPr>
            <w:tcW w:w="188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sz w:val="24"/>
                <w:szCs w:val="24"/>
              </w:rPr>
            </w:pPr>
            <w:r>
              <w:rPr>
                <w:rFonts w:ascii="宋体" w:hAnsi="宋体" w:eastAsia="宋体" w:cs="宋体"/>
                <w:sz w:val="24"/>
                <w:szCs w:val="24"/>
              </w:rPr>
              <w:t>鉴定审定部门</w:t>
            </w:r>
          </w:p>
        </w:tc>
        <w:tc>
          <w:tcPr>
            <w:tcW w:w="26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sz w:val="24"/>
                <w:szCs w:val="24"/>
              </w:rPr>
            </w:pPr>
            <w:r>
              <w:rPr>
                <w:rFonts w:ascii="宋体" w:hAnsi="宋体" w:eastAsia="宋体" w:cs="宋体"/>
                <w:sz w:val="24"/>
                <w:szCs w:val="24"/>
              </w:rPr>
              <w:t>贺州市八步区水利局</w:t>
            </w:r>
          </w:p>
        </w:tc>
      </w:tr>
      <w:tr>
        <w:tblPrEx>
          <w:shd w:val="clear" w:color="auto" w:fill="auto"/>
          <w:tblCellMar>
            <w:top w:w="0" w:type="dxa"/>
            <w:left w:w="10" w:type="dxa"/>
            <w:bottom w:w="0" w:type="dxa"/>
            <w:right w:w="10" w:type="dxa"/>
          </w:tblCellMar>
        </w:tblPrEx>
        <w:trPr>
          <w:jc w:val="center"/>
        </w:trPr>
        <w:tc>
          <w:tcPr>
            <w:tcW w:w="9041"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360" w:lineRule="auto"/>
              <w:rPr>
                <w:rFonts w:hint="eastAsia" w:ascii="宋体" w:hAnsi="宋体" w:eastAsia="宋体" w:cs="宋体"/>
                <w:sz w:val="24"/>
                <w:szCs w:val="24"/>
              </w:rPr>
            </w:pPr>
            <w:r>
              <w:rPr>
                <w:rFonts w:hint="eastAsia" w:ascii="宋体" w:hAnsi="宋体" w:eastAsia="宋体" w:cs="宋体"/>
                <w:sz w:val="24"/>
                <w:szCs w:val="24"/>
              </w:rPr>
              <w:t>工程概况：</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石古冲二期水电站工程位于贺州市南乡镇大汤村杉木自然村附近杉木冲上游右岸边，发电引用水为杉木冲上游右岸3条无名小冲及石古冲下游水。厂址位置为东经111°59'25.47"，北纬24°17'51.63"。主要建筑物由引水陂头、引水明渠、引水隧洞、压力前池、压力管道、发电厂房及升压站等组成。</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石古冲二期水电站发电引用水集水面积共3.63km</w:t>
            </w:r>
            <w:r>
              <w:rPr>
                <w:rFonts w:hint="eastAsia" w:ascii="宋体" w:hAnsi="宋体" w:eastAsia="宋体" w:cs="宋体"/>
                <w:sz w:val="24"/>
                <w:szCs w:val="24"/>
                <w:vertAlign w:val="superscript"/>
              </w:rPr>
              <w:t>2</w:t>
            </w:r>
            <w:r>
              <w:rPr>
                <w:rFonts w:hint="eastAsia" w:ascii="宋体" w:hAnsi="宋体" w:eastAsia="宋体" w:cs="宋体"/>
                <w:sz w:val="24"/>
                <w:szCs w:val="24"/>
              </w:rPr>
              <w:t>；厂址集水面积16.02km</w:t>
            </w:r>
            <w:r>
              <w:rPr>
                <w:rFonts w:hint="eastAsia" w:ascii="宋体" w:hAnsi="宋体" w:eastAsia="宋体" w:cs="宋体"/>
                <w:sz w:val="24"/>
                <w:szCs w:val="24"/>
                <w:vertAlign w:val="superscript"/>
              </w:rPr>
              <w:t>2</w:t>
            </w:r>
            <w:r>
              <w:rPr>
                <w:rFonts w:hint="eastAsia" w:ascii="宋体" w:hAnsi="宋体" w:eastAsia="宋体" w:cs="宋体"/>
                <w:sz w:val="24"/>
                <w:szCs w:val="24"/>
              </w:rPr>
              <w:t>,是一座引水式水电站，水电站装机台数为1台，总装机容量为630kW,设计水头为105.00m。于2005年5月开始开工建设，2006年4月建成投入生产。</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引水坡头</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本工程引水陂头共4座，其中沿引水左支渠布置引水陂头1座，沿引水右支渠布置引水陂头3座。拦截山冲天然水，引水陂是由M7.5水泥砂浆砌石筑成，兼做引水渠道边墙，高约1.5m。</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引水渠道</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引水明渠傍山布置,左岸引水支渠长度为1100.00m,渠道为矩形断面，渠道末段引水断面最大为1.0×0.8m（底×高），比降为2‰,引水流量为0.2m</w:t>
            </w:r>
            <w:r>
              <w:rPr>
                <w:rFonts w:hint="eastAsia" w:ascii="宋体" w:hAnsi="宋体" w:eastAsia="宋体" w:cs="宋体"/>
                <w:sz w:val="24"/>
                <w:szCs w:val="24"/>
                <w:vertAlign w:val="superscript"/>
              </w:rPr>
              <w:t>3</w:t>
            </w:r>
            <w:r>
              <w:rPr>
                <w:rFonts w:hint="eastAsia" w:ascii="宋体" w:hAnsi="宋体" w:eastAsia="宋体" w:cs="宋体"/>
                <w:sz w:val="24"/>
                <w:szCs w:val="24"/>
              </w:rPr>
              <w:t>/s：右岸引水支渠1800m,渠道为矩形断面，渠道末段引水断面最大为1.0×1.0m（底×高），比降为2‰,引水流量为0.6m</w:t>
            </w:r>
            <w:r>
              <w:rPr>
                <w:rFonts w:hint="eastAsia" w:ascii="宋体" w:hAnsi="宋体" w:eastAsia="宋体" w:cs="宋体"/>
                <w:sz w:val="24"/>
                <w:szCs w:val="24"/>
                <w:vertAlign w:val="superscript"/>
              </w:rPr>
              <w:t>3</w:t>
            </w:r>
            <w:r>
              <w:rPr>
                <w:rFonts w:hint="eastAsia" w:ascii="宋体" w:hAnsi="宋体" w:eastAsia="宋体" w:cs="宋体"/>
                <w:sz w:val="24"/>
                <w:szCs w:val="24"/>
              </w:rPr>
              <w:t>/s；侧墙采用M7.5浆砌石，表面M10水泥砂浆抹面，底板采用C20砼护底，厚0.10m。</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引水隧洞</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本工程引水隧洞布置在引水右岸，为无压隧洞，经修整无衬砌，长420.00m，洞形为城门洞形，隧洞尺寸为宽1.20m,高1.50m。过水流量为0.6m3/s、坡降为1‰。</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压力前池</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压力前池在山坡上开挖而成，为不规则形状，通过引水渠道扩散形成，前池压力钢管进水釆用侧向进水，压力钢管进水口设有拦污栅及通气孔。前池接引水渠道末端，在前池进口设有简易拦污栅。前池挡墙墙顶高程为586.90m,池底板高程为581.70m,侧墙为浆砌石结构，C20砼防渗。底板为C20砼，底板厚度0.20m。</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压力管道</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压力管道接前池布置，压力管道采用压力钢管，沿山脊明管布置，钢管主管总长度为615.00m,主管内径0.72m,钢管管壁厚度6、8、10mm,沿程布设10个镇墩，镇墩间距为25.00〜88.00m,支墩间距约为6.00m；镇墩和支墩均为C15砼结构。</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发电厂房</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厂房尺寸为L×B×H=18.80m×8.70m×6.10m(含石古冲电站厂房)，石古冲二期水电站总装机容量为630kW,水轮机型号为XJA-W-55A/1×14.5,配发电机型号为SFW630-6/990。厂房发电机层地面高程为452.75m,厂房结构为钢筋砼排架，厂房尾水通过尾水渠流入原有河道。</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升压站</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升压站布置于厂房的左侧，四周设有2.00m高围墙，变压器型号为S9-800/35。</w:t>
            </w:r>
          </w:p>
          <w:p>
            <w:pPr>
              <w:pStyle w:val="2"/>
            </w:pPr>
          </w:p>
          <w:p>
            <w:pPr>
              <w:pStyle w:val="3"/>
            </w:pPr>
          </w:p>
          <w:p>
            <w:pPr>
              <w:pStyle w:val="4"/>
            </w:pPr>
          </w:p>
          <w:p>
            <w:pPr>
              <w:pStyle w:val="2"/>
            </w:pPr>
          </w:p>
        </w:tc>
      </w:tr>
      <w:tr>
        <w:tblPrEx>
          <w:shd w:val="clear" w:color="auto" w:fill="auto"/>
          <w:tblCellMar>
            <w:top w:w="0" w:type="dxa"/>
            <w:left w:w="10" w:type="dxa"/>
            <w:bottom w:w="0" w:type="dxa"/>
            <w:right w:w="10" w:type="dxa"/>
          </w:tblCellMar>
        </w:tblPrEx>
        <w:trPr>
          <w:trHeight w:val="12880"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80" w:lineRule="auto"/>
              <w:jc w:val="center"/>
              <w:rPr>
                <w:rFonts w:ascii="宋体" w:hAnsi="宋体" w:eastAsia="宋体" w:cs="宋体"/>
                <w:sz w:val="24"/>
                <w:szCs w:val="24"/>
              </w:rPr>
            </w:pPr>
            <w:r>
              <w:rPr>
                <w:rFonts w:ascii="宋体" w:hAnsi="宋体" w:eastAsia="宋体" w:cs="宋体"/>
                <w:b/>
                <w:sz w:val="24"/>
                <w:szCs w:val="24"/>
              </w:rPr>
              <w:t>水电站现场安全检查</w:t>
            </w:r>
          </w:p>
        </w:tc>
        <w:tc>
          <w:tcPr>
            <w:tcW w:w="8329"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360" w:lineRule="auto"/>
              <w:ind w:firstLine="570"/>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引水陂头</w:t>
            </w:r>
          </w:p>
          <w:p>
            <w:pPr>
              <w:spacing w:line="360" w:lineRule="auto"/>
              <w:ind w:firstLine="570"/>
              <w:jc w:val="left"/>
              <w:rPr>
                <w:rFonts w:hint="eastAsia" w:ascii="宋体" w:hAnsi="宋体" w:eastAsia="宋体" w:cs="宋体"/>
                <w:sz w:val="24"/>
                <w:szCs w:val="24"/>
              </w:rPr>
            </w:pPr>
            <w:r>
              <w:rPr>
                <w:rFonts w:hint="eastAsia" w:ascii="宋体" w:hAnsi="宋体" w:eastAsia="宋体" w:cs="宋体"/>
                <w:sz w:val="24"/>
                <w:szCs w:val="24"/>
              </w:rPr>
              <w:t>本工程引水陂头共4座，其中沿引水左支渠布置引水陂头1座，沿引水右支渠布置引水陂头3座，拦截山冲天然水，引水陂兼做引水渠道边墙，高约1.5m。引水陂上下游的砌石表面平整、顺直，无较大的凹、凸面和破损而出现，无明显的沉降出现。</w:t>
            </w:r>
          </w:p>
          <w:p>
            <w:pPr>
              <w:spacing w:line="360" w:lineRule="auto"/>
              <w:ind w:firstLine="570"/>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引水渠道</w:t>
            </w:r>
          </w:p>
          <w:p>
            <w:pPr>
              <w:spacing w:line="360" w:lineRule="auto"/>
              <w:ind w:firstLine="560"/>
              <w:jc w:val="left"/>
              <w:rPr>
                <w:rFonts w:hint="eastAsia" w:ascii="宋体" w:hAnsi="宋体" w:eastAsia="宋体" w:cs="宋体"/>
                <w:sz w:val="24"/>
                <w:szCs w:val="24"/>
              </w:rPr>
            </w:pPr>
            <w:r>
              <w:rPr>
                <w:rFonts w:hint="eastAsia" w:ascii="宋体" w:hAnsi="宋体" w:eastAsia="宋体" w:cs="宋体"/>
                <w:sz w:val="24"/>
                <w:szCs w:val="24"/>
              </w:rPr>
              <w:t>引水渠道为明渠形式，傍山布置，沿线整体较好，基础稳定，边坡无塌方。挡墙未发现影响结构安全的裂缝，底板未发现被水流冲刷掏空的现象，也没发现较严重、大面积的漏水现象。引水渠道末端布置溢流侧堰。</w:t>
            </w:r>
          </w:p>
          <w:p>
            <w:pPr>
              <w:spacing w:line="360" w:lineRule="auto"/>
              <w:ind w:firstLine="57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引水隧洞</w:t>
            </w:r>
          </w:p>
          <w:p>
            <w:pPr>
              <w:spacing w:line="360" w:lineRule="auto"/>
              <w:ind w:firstLine="560"/>
              <w:jc w:val="left"/>
              <w:rPr>
                <w:rFonts w:hint="eastAsia" w:ascii="宋体" w:hAnsi="宋体" w:eastAsia="宋体" w:cs="宋体"/>
                <w:sz w:val="24"/>
                <w:szCs w:val="24"/>
              </w:rPr>
            </w:pPr>
            <w:r>
              <w:rPr>
                <w:rFonts w:hint="eastAsia" w:ascii="宋体" w:hAnsi="宋体" w:eastAsia="宋体" w:cs="宋体"/>
                <w:sz w:val="24"/>
                <w:szCs w:val="24"/>
              </w:rPr>
              <w:t>引水隧洞断面采用圆拱直墙式，为无压隧洞，经过修正无衬砌，进出口周边岸坡稳定，没有出现滑坡和崩塌现象。进水口设有拦污栅。</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lang w:val="zh-TW"/>
              </w:rPr>
              <w:t>压力前池</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前池在山坡上开挖而成，设在明渠末端，下接电站压力钢管，为不规则形状。前池压力钢管进水釆用侧向进水，压力钢管进水口设有拦污栅及通气孔。侧墻为浆砌石结构，底板为C20砼。前池整体结构完好，在前池进口设有简易拦污栅。现场检查未发现有砼脱落、崩塌和裂缝等现象。</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压力管道</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压力管道接前池布置，压力管道釆用压力钢管，沿山脊明管布實，沿线设10个镇墩。钢管表面涂有红色防锈漆，局部钢管有锈蚀，管体未发现有明显变形，管槽内杂草丛生。镇墩、支墩无开裂和下沉等质量问题，压力管道所在山坡自然稳定，镇墩及支墩基础均置于岩石上，稳定性较好。</w:t>
            </w:r>
          </w:p>
          <w:p>
            <w:pPr>
              <w:spacing w:line="360" w:lineRule="auto"/>
              <w:ind w:firstLine="56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lang w:val="zh-TW"/>
              </w:rPr>
              <w:t>发电厂房</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经现场检查，石古冲二期水电站厂房外观质量较好，门窗无损坏现象，内部装修干净整洁。厂房结构为单层钢筋砼框架结构,厂房基础稳定，厂区不会产生塌方、滑坡、泥石流等自然灾害。厂房内排架柱、梁、墙体及天面等未见明显变形、裂缝、位移及脱落等现象，厂房在运行过程中未出现过异常情况。</w:t>
            </w:r>
          </w:p>
          <w:p>
            <w:pPr>
              <w:spacing w:line="360" w:lineRule="auto"/>
              <w:jc w:val="both"/>
              <w:rPr>
                <w:rFonts w:hint="eastAsia" w:ascii="宋体" w:hAnsi="宋体" w:eastAsia="宋体" w:cs="宋体"/>
                <w:sz w:val="24"/>
                <w:szCs w:val="24"/>
              </w:rPr>
            </w:pPr>
            <w:r>
              <w:rPr>
                <w:rFonts w:hint="eastAsia" w:ascii="宋体" w:hAnsi="宋体" w:eastAsia="宋体" w:cs="宋体"/>
                <w:sz w:val="24"/>
                <w:szCs w:val="24"/>
              </w:rPr>
              <w:t xml:space="preserve">    4</w:t>
            </w:r>
            <w:r>
              <w:rPr>
                <w:rFonts w:hint="eastAsia" w:ascii="宋体" w:hAnsi="宋体" w:eastAsia="宋体" w:cs="宋体"/>
                <w:sz w:val="24"/>
                <w:szCs w:val="24"/>
                <w:lang w:val="en-US" w:eastAsia="zh-CN"/>
              </w:rPr>
              <w:t>.</w:t>
            </w:r>
            <w:r>
              <w:rPr>
                <w:rFonts w:hint="eastAsia" w:ascii="宋体" w:hAnsi="宋体" w:eastAsia="宋体" w:cs="宋体"/>
                <w:sz w:val="24"/>
                <w:szCs w:val="24"/>
              </w:rPr>
              <w:t>升压站</w:t>
            </w:r>
          </w:p>
          <w:p>
            <w:pPr>
              <w:spacing w:line="360" w:lineRule="auto"/>
              <w:ind w:firstLine="560"/>
              <w:jc w:val="both"/>
              <w:rPr>
                <w:rFonts w:hint="eastAsia" w:ascii="宋体" w:hAnsi="宋体" w:eastAsia="宋体" w:cs="宋体"/>
                <w:sz w:val="24"/>
                <w:szCs w:val="24"/>
                <w:lang w:val="zh-TW"/>
              </w:rPr>
            </w:pPr>
            <w:r>
              <w:rPr>
                <w:rFonts w:hint="eastAsia" w:ascii="宋体" w:hAnsi="宋体" w:eastAsia="宋体" w:cs="宋体"/>
                <w:sz w:val="24"/>
                <w:szCs w:val="24"/>
              </w:rPr>
              <w:t>升压站布置于厂房的左侧，地面高程为452.75m,电站设主变压器1台，四周未发现不稳定地质情况，升压站各建筑物自建成以来，一直运行良好，未出现变</w:t>
            </w:r>
            <w:r>
              <w:rPr>
                <w:rFonts w:hint="eastAsia" w:ascii="宋体" w:hAnsi="宋体" w:eastAsia="宋体" w:cs="宋体"/>
                <w:sz w:val="24"/>
                <w:szCs w:val="24"/>
                <w:lang w:val="zh-TW"/>
              </w:rPr>
              <w:t>形、裂缝等现象。</w:t>
            </w:r>
          </w:p>
          <w:p>
            <w:pPr>
              <w:spacing w:line="360" w:lineRule="auto"/>
              <w:ind w:firstLine="560"/>
              <w:jc w:val="left"/>
              <w:rPr>
                <w:rFonts w:hint="eastAsia"/>
                <w:sz w:val="24"/>
                <w:szCs w:val="24"/>
                <w:lang w:val="zh-TW"/>
              </w:rPr>
            </w:pPr>
          </w:p>
          <w:p>
            <w:pPr>
              <w:spacing w:line="360" w:lineRule="auto"/>
              <w:ind w:firstLine="560"/>
              <w:jc w:val="left"/>
              <w:rPr>
                <w:rFonts w:hint="eastAsia"/>
                <w:sz w:val="24"/>
                <w:szCs w:val="24"/>
                <w:lang w:val="zh-TW"/>
              </w:rPr>
            </w:pPr>
          </w:p>
          <w:p>
            <w:pPr>
              <w:spacing w:line="360" w:lineRule="auto"/>
              <w:ind w:firstLine="560"/>
              <w:jc w:val="left"/>
              <w:rPr>
                <w:rFonts w:hint="eastAsia"/>
                <w:sz w:val="24"/>
                <w:szCs w:val="24"/>
                <w:lang w:val="zh-TW"/>
              </w:rPr>
            </w:pPr>
          </w:p>
          <w:p>
            <w:pPr>
              <w:spacing w:line="360" w:lineRule="auto"/>
              <w:ind w:firstLine="560"/>
              <w:jc w:val="left"/>
              <w:rPr>
                <w:rFonts w:hint="eastAsia"/>
                <w:sz w:val="24"/>
                <w:szCs w:val="24"/>
                <w:lang w:val="zh-TW"/>
              </w:rPr>
            </w:pPr>
          </w:p>
          <w:p>
            <w:pPr>
              <w:spacing w:line="360" w:lineRule="auto"/>
              <w:ind w:firstLine="560"/>
              <w:jc w:val="left"/>
              <w:rPr>
                <w:rFonts w:hint="eastAsia"/>
                <w:sz w:val="24"/>
                <w:szCs w:val="24"/>
                <w:lang w:val="zh-TW"/>
              </w:rPr>
            </w:pPr>
          </w:p>
          <w:p>
            <w:pPr>
              <w:spacing w:line="360" w:lineRule="auto"/>
              <w:jc w:val="left"/>
              <w:rPr>
                <w:sz w:val="24"/>
                <w:szCs w:val="24"/>
              </w:rPr>
            </w:pPr>
          </w:p>
          <w:p>
            <w:pPr>
              <w:pStyle w:val="2"/>
              <w:rPr>
                <w:sz w:val="24"/>
                <w:szCs w:val="24"/>
              </w:rPr>
            </w:pPr>
          </w:p>
          <w:p>
            <w:pPr>
              <w:pStyle w:val="3"/>
              <w:rPr>
                <w:sz w:val="24"/>
                <w:szCs w:val="24"/>
              </w:rPr>
            </w:pPr>
          </w:p>
        </w:tc>
      </w:tr>
      <w:tr>
        <w:tblPrEx>
          <w:shd w:val="clear" w:color="auto" w:fill="auto"/>
          <w:tblCellMar>
            <w:top w:w="0" w:type="dxa"/>
            <w:left w:w="10" w:type="dxa"/>
            <w:bottom w:w="0" w:type="dxa"/>
            <w:right w:w="10" w:type="dxa"/>
          </w:tblCellMar>
        </w:tblPrEx>
        <w:trPr>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80" w:lineRule="auto"/>
              <w:jc w:val="center"/>
              <w:rPr>
                <w:rFonts w:ascii="宋体" w:hAnsi="宋体" w:eastAsia="宋体" w:cs="宋体"/>
                <w:sz w:val="24"/>
                <w:szCs w:val="24"/>
              </w:rPr>
            </w:pPr>
            <w:r>
              <w:rPr>
                <w:rFonts w:ascii="宋体" w:hAnsi="宋体" w:eastAsia="宋体" w:cs="宋体"/>
                <w:b/>
                <w:sz w:val="24"/>
                <w:szCs w:val="24"/>
              </w:rPr>
              <w:t>水电站安全分析评价</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40" w:lineRule="auto"/>
              <w:jc w:val="center"/>
              <w:rPr>
                <w:rFonts w:ascii="宋体" w:hAnsi="宋体" w:eastAsia="宋体" w:cs="宋体"/>
                <w:b/>
                <w:sz w:val="24"/>
                <w:szCs w:val="24"/>
              </w:rPr>
            </w:pPr>
            <w:r>
              <w:rPr>
                <w:rFonts w:ascii="宋体" w:hAnsi="宋体" w:eastAsia="宋体" w:cs="宋体"/>
                <w:b/>
                <w:sz w:val="24"/>
                <w:szCs w:val="24"/>
              </w:rPr>
              <w:t>工</w:t>
            </w:r>
          </w:p>
          <w:p>
            <w:pPr>
              <w:spacing w:line="440" w:lineRule="auto"/>
              <w:jc w:val="center"/>
              <w:rPr>
                <w:rFonts w:ascii="宋体" w:hAnsi="宋体" w:eastAsia="宋体" w:cs="宋体"/>
                <w:b/>
                <w:sz w:val="24"/>
                <w:szCs w:val="24"/>
              </w:rPr>
            </w:pPr>
            <w:r>
              <w:rPr>
                <w:rFonts w:ascii="宋体" w:hAnsi="宋体" w:eastAsia="宋体" w:cs="宋体"/>
                <w:b/>
                <w:sz w:val="24"/>
                <w:szCs w:val="24"/>
              </w:rPr>
              <w:t>程</w:t>
            </w:r>
          </w:p>
          <w:p>
            <w:pPr>
              <w:spacing w:line="440" w:lineRule="auto"/>
              <w:jc w:val="center"/>
              <w:rPr>
                <w:rFonts w:ascii="宋体" w:hAnsi="宋体" w:eastAsia="宋体" w:cs="宋体"/>
                <w:b/>
                <w:sz w:val="24"/>
                <w:szCs w:val="24"/>
              </w:rPr>
            </w:pPr>
            <w:r>
              <w:rPr>
                <w:rFonts w:ascii="宋体" w:hAnsi="宋体" w:eastAsia="宋体" w:cs="宋体"/>
                <w:b/>
                <w:sz w:val="24"/>
                <w:szCs w:val="24"/>
              </w:rPr>
              <w:t>质</w:t>
            </w:r>
          </w:p>
          <w:p>
            <w:pPr>
              <w:spacing w:line="440" w:lineRule="auto"/>
              <w:jc w:val="center"/>
              <w:rPr>
                <w:rFonts w:ascii="宋体" w:hAnsi="宋体" w:eastAsia="宋体" w:cs="宋体"/>
                <w:b/>
                <w:sz w:val="24"/>
                <w:szCs w:val="24"/>
              </w:rPr>
            </w:pPr>
            <w:r>
              <w:rPr>
                <w:rFonts w:ascii="宋体" w:hAnsi="宋体" w:eastAsia="宋体" w:cs="宋体"/>
                <w:b/>
                <w:sz w:val="24"/>
                <w:szCs w:val="24"/>
              </w:rPr>
              <w:t>量</w:t>
            </w:r>
          </w:p>
          <w:p>
            <w:pPr>
              <w:spacing w:line="440" w:lineRule="auto"/>
              <w:jc w:val="center"/>
              <w:rPr>
                <w:rFonts w:ascii="宋体" w:hAnsi="宋体" w:eastAsia="宋体" w:cs="宋体"/>
                <w:b/>
                <w:sz w:val="24"/>
                <w:szCs w:val="24"/>
              </w:rPr>
            </w:pPr>
            <w:r>
              <w:rPr>
                <w:rFonts w:ascii="宋体" w:hAnsi="宋体" w:eastAsia="宋体" w:cs="宋体"/>
                <w:b/>
                <w:sz w:val="24"/>
                <w:szCs w:val="24"/>
              </w:rPr>
              <w:t>评</w:t>
            </w:r>
          </w:p>
          <w:p>
            <w:pPr>
              <w:spacing w:line="440" w:lineRule="auto"/>
              <w:jc w:val="center"/>
              <w:rPr>
                <w:rFonts w:ascii="宋体" w:hAnsi="宋体" w:eastAsia="宋体" w:cs="宋体"/>
                <w:sz w:val="24"/>
                <w:szCs w:val="24"/>
              </w:rPr>
            </w:pPr>
            <w:r>
              <w:rPr>
                <w:rFonts w:ascii="宋体" w:hAnsi="宋体" w:eastAsia="宋体" w:cs="宋体"/>
                <w:b/>
                <w:sz w:val="24"/>
                <w:szCs w:val="24"/>
              </w:rPr>
              <w:t>价</w:t>
            </w:r>
          </w:p>
        </w:tc>
        <w:tc>
          <w:tcPr>
            <w:tcW w:w="7539"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本工程引水陂头共4座，均是M7.5水泥砂浆砌石低堰，其中</w:t>
            </w:r>
            <w:r>
              <w:rPr>
                <w:rFonts w:hint="eastAsia" w:ascii="宋体" w:hAnsi="宋体" w:eastAsia="宋体" w:cs="宋体"/>
                <w:sz w:val="24"/>
                <w:szCs w:val="24"/>
              </w:rPr>
              <w:t>沿引水左支渠布置引水陂头</w:t>
            </w:r>
            <w:r>
              <w:rPr>
                <w:rFonts w:ascii="宋体" w:hAnsi="宋体" w:eastAsia="宋体" w:cs="宋体"/>
                <w:sz w:val="24"/>
                <w:szCs w:val="24"/>
              </w:rPr>
              <w:t>1座，沿引水右支渠布置引水陂头3座，拦截山冲天然水，引水陂兼做引水渠道边墙，高约</w:t>
            </w:r>
            <w:r>
              <w:rPr>
                <w:rFonts w:hint="eastAsia" w:ascii="宋体" w:hAnsi="宋体" w:eastAsia="宋体" w:cs="宋体"/>
                <w:sz w:val="24"/>
                <w:szCs w:val="24"/>
              </w:rPr>
              <w:t>1.</w:t>
            </w:r>
            <w:r>
              <w:rPr>
                <w:rFonts w:ascii="宋体" w:hAnsi="宋体" w:eastAsia="宋体" w:cs="宋体"/>
                <w:sz w:val="24"/>
                <w:szCs w:val="24"/>
              </w:rPr>
              <w:t>5m。</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eastAsia="宋体" w:cs="宋体"/>
                <w:sz w:val="24"/>
                <w:szCs w:val="24"/>
              </w:rPr>
            </w:pPr>
            <w:r>
              <w:rPr>
                <w:rFonts w:ascii="宋体" w:hAnsi="宋体" w:eastAsia="宋体" w:cs="宋体"/>
                <w:sz w:val="24"/>
                <w:szCs w:val="24"/>
              </w:rPr>
              <w:t>引水陂基础已落在弱风化花岗岩之上，基础防</w:t>
            </w:r>
            <w:r>
              <w:rPr>
                <w:rFonts w:hint="eastAsia" w:ascii="宋体" w:hAnsi="宋体" w:eastAsia="宋体" w:cs="宋体"/>
                <w:sz w:val="24"/>
                <w:szCs w:val="24"/>
              </w:rPr>
              <w:t>渗砼</w:t>
            </w:r>
            <w:r>
              <w:rPr>
                <w:rFonts w:ascii="宋体" w:hAnsi="宋体" w:eastAsia="宋体" w:cs="宋体"/>
                <w:sz w:val="24"/>
                <w:szCs w:val="24"/>
              </w:rPr>
              <w:t>和陂基、陂肩基岩胶结较好，岩石坚硬，强度高。基础没有岀现挤压、错动、开裂和鼓起等现象，陂体与岸坡岩体接合处无错动、开裂、脱离和渗水。引水陂建成后多次泄洪，陂后没有发现冲刷坑，陂后河床基岩为弱风化岩石，岩石较为致密坚硬，岩体完整性较好，抗冲刷性较强。陂身体型基本按设计的体型进行，陂面上下游面平整、顺直，无较大的凹凸面和破损面。引水陂经多次泄洪表面完整，陂面抗冲刷能力较强。引水陂头质量评定为合格。</w:t>
            </w:r>
          </w:p>
          <w:p>
            <w:pPr>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引水渠道结构未发现有裂缝、位移及脱落等现象，基础稳定</w:t>
            </w:r>
            <w:r>
              <w:rPr>
                <w:rFonts w:hint="eastAsia" w:ascii="宋体" w:hAnsi="宋体" w:eastAsia="宋体" w:cs="宋体"/>
                <w:sz w:val="24"/>
                <w:szCs w:val="24"/>
              </w:rPr>
              <w:t>，</w:t>
            </w:r>
            <w:r>
              <w:rPr>
                <w:rFonts w:ascii="宋体" w:hAnsi="宋体" w:eastAsia="宋体" w:cs="宋体"/>
                <w:sz w:val="24"/>
                <w:szCs w:val="24"/>
              </w:rPr>
              <w:t>无边坡塌方存在，局部渠底有泥沙淤积。底板C20</w:t>
            </w:r>
            <w:r>
              <w:rPr>
                <w:rFonts w:hint="eastAsia" w:ascii="宋体" w:hAnsi="宋体" w:eastAsia="宋体" w:cs="宋体"/>
                <w:sz w:val="24"/>
                <w:szCs w:val="24"/>
              </w:rPr>
              <w:t>砼</w:t>
            </w:r>
            <w:r>
              <w:rPr>
                <w:rFonts w:ascii="宋体" w:hAnsi="宋体" w:eastAsia="宋体" w:cs="宋体"/>
                <w:sz w:val="24"/>
                <w:szCs w:val="24"/>
              </w:rPr>
              <w:t>和侧墙M7</w:t>
            </w:r>
            <w:r>
              <w:rPr>
                <w:rFonts w:hint="eastAsia" w:ascii="宋体" w:hAnsi="宋体" w:eastAsia="宋体" w:cs="宋体"/>
                <w:sz w:val="24"/>
                <w:szCs w:val="24"/>
              </w:rPr>
              <w:t>.</w:t>
            </w:r>
            <w:r>
              <w:rPr>
                <w:rFonts w:ascii="宋体" w:hAnsi="宋体" w:eastAsia="宋体" w:cs="宋体"/>
                <w:sz w:val="24"/>
                <w:szCs w:val="24"/>
              </w:rPr>
              <w:t>5浆砌块石达到设计强度，引水渠道质量评定为合格。</w:t>
            </w:r>
          </w:p>
          <w:p>
            <w:pPr>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引水隧洞：引水隧洞布置在引水右岸，为无压隧洞，经修整无衬砌，长420</w:t>
            </w:r>
            <w:r>
              <w:rPr>
                <w:rFonts w:hint="eastAsia" w:ascii="宋体" w:hAnsi="宋体" w:eastAsia="宋体" w:cs="宋体"/>
                <w:sz w:val="24"/>
                <w:szCs w:val="24"/>
              </w:rPr>
              <w:t>.00</w:t>
            </w:r>
            <w:r>
              <w:rPr>
                <w:rFonts w:ascii="宋体" w:hAnsi="宋体" w:eastAsia="宋体" w:cs="宋体"/>
                <w:sz w:val="24"/>
                <w:szCs w:val="24"/>
              </w:rPr>
              <w:t>m,洞形为城门洞形，隧洞尺寸为宽1.2</w:t>
            </w:r>
            <w:r>
              <w:rPr>
                <w:rFonts w:hint="eastAsia" w:ascii="宋体" w:hAnsi="宋体" w:eastAsia="宋体" w:cs="宋体"/>
                <w:sz w:val="24"/>
                <w:szCs w:val="24"/>
              </w:rPr>
              <w:t>0</w:t>
            </w:r>
            <w:r>
              <w:rPr>
                <w:rFonts w:ascii="宋体" w:hAnsi="宋体" w:eastAsia="宋体" w:cs="宋体"/>
                <w:sz w:val="24"/>
                <w:szCs w:val="24"/>
              </w:rPr>
              <w:t>m,高1.5</w:t>
            </w:r>
            <w:r>
              <w:rPr>
                <w:rFonts w:hint="eastAsia" w:ascii="宋体" w:hAnsi="宋体" w:eastAsia="宋体" w:cs="宋体"/>
                <w:sz w:val="24"/>
                <w:szCs w:val="24"/>
              </w:rPr>
              <w:t>0</w:t>
            </w:r>
            <w:r>
              <w:rPr>
                <w:rFonts w:ascii="宋体" w:hAnsi="宋体" w:eastAsia="宋体" w:cs="宋体"/>
                <w:sz w:val="24"/>
                <w:szCs w:val="24"/>
              </w:rPr>
              <w:t>m,过流能力满足要求。根据现场检查，隧洞沿线边坡稳定，没有出现滑坡和洞身崩塌现象。引水隧洞质量评定为合格。</w:t>
            </w:r>
          </w:p>
          <w:p>
            <w:pPr>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压力前池：压力前池基础座落于较为稳定的基岩之上，没有出现开裂、渗漏、崩塌等现象。压力前池质量评定为合格。</w:t>
            </w:r>
          </w:p>
          <w:p>
            <w:pPr>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压力钢管：压力钢管表面防锈涂料有局部轻微龟裂、脱落现象，未发现明显变形和损伤，管件连接良好，无位移或错位，四周无渗漏水现象。压力钢管镇墩、支墩未发现开裂下沉现象，外观良好，无变形、裂缝或不均匀沉降现象，压力钢管质量评定为合格。</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jc w:val="both"/>
              <w:textAlignment w:val="auto"/>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ascii="宋体" w:hAnsi="宋体" w:eastAsia="宋体" w:cs="宋体"/>
                <w:sz w:val="24"/>
                <w:szCs w:val="24"/>
              </w:rPr>
              <w:t xml:space="preserve">发电厂房： </w:t>
            </w:r>
          </w:p>
          <w:p>
            <w:pPr>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ascii="宋体" w:hAnsi="宋体" w:eastAsia="宋体" w:cs="宋体"/>
                <w:sz w:val="24"/>
                <w:szCs w:val="24"/>
              </w:rPr>
            </w:pPr>
            <w:r>
              <w:rPr>
                <w:rFonts w:ascii="宋体" w:hAnsi="宋体" w:eastAsia="宋体" w:cs="宋体"/>
                <w:sz w:val="24"/>
                <w:szCs w:val="24"/>
              </w:rPr>
              <w:t>厂房尺寸为L</w:t>
            </w:r>
            <w:r>
              <w:rPr>
                <w:rFonts w:hint="eastAsia" w:ascii="宋体" w:hAnsi="宋体" w:eastAsia="宋体" w:cs="宋体"/>
                <w:sz w:val="24"/>
                <w:szCs w:val="24"/>
              </w:rPr>
              <w:t>×</w:t>
            </w:r>
            <w:r>
              <w:rPr>
                <w:rFonts w:ascii="宋体" w:hAnsi="宋体" w:eastAsia="宋体" w:cs="宋体"/>
                <w:sz w:val="24"/>
                <w:szCs w:val="24"/>
              </w:rPr>
              <w:t>B</w:t>
            </w:r>
            <w:r>
              <w:rPr>
                <w:rFonts w:hint="eastAsia" w:ascii="宋体" w:hAnsi="宋体" w:eastAsia="宋体" w:cs="宋体"/>
                <w:sz w:val="24"/>
                <w:szCs w:val="24"/>
              </w:rPr>
              <w:t>×</w:t>
            </w:r>
            <w:r>
              <w:rPr>
                <w:rFonts w:ascii="宋体" w:hAnsi="宋体" w:eastAsia="宋体" w:cs="宋体"/>
                <w:sz w:val="24"/>
                <w:szCs w:val="24"/>
              </w:rPr>
              <w:t>H=</w:t>
            </w:r>
            <w:r>
              <w:rPr>
                <w:rFonts w:hint="eastAsia" w:ascii="宋体" w:hAnsi="宋体" w:eastAsia="宋体" w:cs="宋体"/>
                <w:sz w:val="24"/>
                <w:szCs w:val="24"/>
              </w:rPr>
              <w:t>18.8</w:t>
            </w:r>
            <w:r>
              <w:rPr>
                <w:rFonts w:ascii="宋体" w:hAnsi="宋体" w:eastAsia="宋体" w:cs="宋体"/>
                <w:sz w:val="24"/>
                <w:szCs w:val="24"/>
              </w:rPr>
              <w:t>m</w:t>
            </w:r>
            <w:r>
              <w:rPr>
                <w:rFonts w:hint="eastAsia" w:ascii="宋体" w:hAnsi="宋体" w:eastAsia="宋体" w:cs="宋体"/>
                <w:sz w:val="24"/>
                <w:szCs w:val="24"/>
              </w:rPr>
              <w:t>×</w:t>
            </w:r>
            <w:r>
              <w:rPr>
                <w:rFonts w:ascii="宋体" w:hAnsi="宋体" w:eastAsia="宋体" w:cs="宋体"/>
                <w:sz w:val="24"/>
                <w:szCs w:val="24"/>
              </w:rPr>
              <w:t>8.7m</w:t>
            </w: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1</w:t>
            </w:r>
            <w:r>
              <w:rPr>
                <w:rFonts w:ascii="宋体" w:hAnsi="宋体" w:eastAsia="宋体" w:cs="宋体"/>
                <w:sz w:val="24"/>
                <w:szCs w:val="24"/>
              </w:rPr>
              <w:t>m（含石古冲水电站厂房），石古冲二期水电站总装机容量为630</w:t>
            </w:r>
            <w:r>
              <w:rPr>
                <w:rFonts w:hint="eastAsia" w:ascii="宋体" w:hAnsi="宋体" w:eastAsia="宋体" w:cs="宋体"/>
                <w:sz w:val="24"/>
                <w:szCs w:val="24"/>
              </w:rPr>
              <w:t>kW</w:t>
            </w:r>
            <w:r>
              <w:rPr>
                <w:rFonts w:ascii="宋体" w:hAnsi="宋体" w:eastAsia="宋体" w:cs="宋体"/>
                <w:sz w:val="24"/>
                <w:szCs w:val="24"/>
              </w:rPr>
              <w:t>,水轮机型号为</w:t>
            </w:r>
            <w:r>
              <w:rPr>
                <w:rFonts w:hint="eastAsia" w:ascii="宋体" w:hAnsi="宋体" w:eastAsia="宋体" w:cs="宋体"/>
                <w:sz w:val="24"/>
                <w:szCs w:val="24"/>
              </w:rPr>
              <w:t>XJ</w:t>
            </w:r>
            <w:r>
              <w:rPr>
                <w:rFonts w:ascii="宋体" w:hAnsi="宋体" w:eastAsia="宋体" w:cs="宋体"/>
                <w:sz w:val="24"/>
                <w:szCs w:val="24"/>
              </w:rPr>
              <w:t>A-W-</w:t>
            </w:r>
            <w:r>
              <w:rPr>
                <w:rFonts w:hint="eastAsia" w:ascii="宋体" w:hAnsi="宋体" w:eastAsia="宋体" w:cs="宋体"/>
                <w:sz w:val="24"/>
                <w:szCs w:val="24"/>
              </w:rPr>
              <w:t>55A</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14.5,配发电机型号为SFW630-6/990。厂房地面高程为452.75m,厂房结构为钢筋</w:t>
            </w:r>
            <w:r>
              <w:rPr>
                <w:rFonts w:hint="eastAsia" w:ascii="宋体" w:hAnsi="宋体" w:eastAsia="宋体" w:cs="宋体"/>
                <w:sz w:val="24"/>
                <w:szCs w:val="24"/>
              </w:rPr>
              <w:t>砼</w:t>
            </w:r>
            <w:r>
              <w:rPr>
                <w:rFonts w:ascii="宋体" w:hAnsi="宋体" w:eastAsia="宋体" w:cs="宋体"/>
                <w:sz w:val="24"/>
                <w:szCs w:val="24"/>
              </w:rPr>
              <w:t>排架砖混结构，厂房尾水通过尾水渠流入原有河道。</w:t>
            </w:r>
          </w:p>
          <w:p>
            <w:pPr>
              <w:spacing w:line="360" w:lineRule="auto"/>
              <w:ind w:firstLine="560"/>
              <w:jc w:val="both"/>
              <w:rPr>
                <w:rFonts w:ascii="宋体" w:hAnsi="宋体" w:eastAsia="宋体" w:cs="宋体"/>
                <w:sz w:val="24"/>
                <w:szCs w:val="24"/>
              </w:rPr>
            </w:pPr>
            <w:r>
              <w:rPr>
                <w:rFonts w:ascii="宋体" w:hAnsi="宋体" w:eastAsia="宋体" w:cs="宋体"/>
                <w:sz w:val="24"/>
                <w:szCs w:val="24"/>
              </w:rPr>
              <w:t>通过对厂房的巡视检查后认为，厂房整体外观质量良好，门窗、外墙及屋顶等无损坏现象。厂房基础坐落于弱风化岩石上，基础稳定。厂区地面、框架柱、梁、墙体及天面未发现变形、裂缝、位移，墙体不存在砂浆脱落等现象，厂房在运行过程中未出现过异常情况。经过对厂房机墩、框架柱进行回弹仪检测，现状混凝土强度大于C20，满足规范要求。发电厂房质量评定为合格。</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升压站坐落在基岩上，四周未发现不稳定的地质情况，自建成投产以来一直运行良好，未出现变形、裂缝等情况。升压站工程质量评为合格。</w:t>
            </w:r>
          </w:p>
          <w:p>
            <w:pPr>
              <w:spacing w:line="360" w:lineRule="auto"/>
              <w:ind w:firstLine="560"/>
              <w:jc w:val="both"/>
              <w:rPr>
                <w:rFonts w:ascii="宋体" w:hAnsi="宋体" w:eastAsia="宋体" w:cs="宋体"/>
                <w:sz w:val="24"/>
                <w:szCs w:val="24"/>
              </w:rPr>
            </w:pPr>
            <w:r>
              <w:rPr>
                <w:rFonts w:ascii="宋体" w:hAnsi="宋体" w:eastAsia="宋体" w:cs="宋体"/>
                <w:sz w:val="24"/>
                <w:szCs w:val="24"/>
              </w:rPr>
              <w:t>综上所述，工程质量评定为合格。</w:t>
            </w:r>
          </w:p>
        </w:tc>
      </w:tr>
      <w:tr>
        <w:tblPrEx>
          <w:shd w:val="clear" w:color="auto" w:fill="auto"/>
          <w:tblCellMar>
            <w:top w:w="0" w:type="dxa"/>
            <w:left w:w="10" w:type="dxa"/>
            <w:bottom w:w="0" w:type="dxa"/>
            <w:right w:w="10" w:type="dxa"/>
          </w:tblCellMar>
        </w:tblPrEx>
        <w:trPr>
          <w:trHeight w:val="8114"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80" w:lineRule="auto"/>
              <w:jc w:val="center"/>
              <w:rPr>
                <w:rFonts w:ascii="宋体" w:hAnsi="宋体" w:eastAsia="宋体" w:cs="宋体"/>
                <w:sz w:val="24"/>
                <w:szCs w:val="24"/>
              </w:rPr>
            </w:pPr>
            <w:r>
              <w:rPr>
                <w:rFonts w:ascii="宋体" w:hAnsi="宋体" w:eastAsia="宋体" w:cs="宋体"/>
                <w:b/>
                <w:sz w:val="24"/>
                <w:szCs w:val="24"/>
              </w:rPr>
              <w:t>水电站安全分析评价</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40" w:lineRule="auto"/>
              <w:jc w:val="center"/>
              <w:rPr>
                <w:rFonts w:ascii="宋体" w:hAnsi="宋体" w:eastAsia="宋体" w:cs="宋体"/>
                <w:b/>
                <w:sz w:val="24"/>
                <w:szCs w:val="24"/>
              </w:rPr>
            </w:pPr>
            <w:r>
              <w:rPr>
                <w:rFonts w:ascii="宋体" w:hAnsi="宋体" w:eastAsia="宋体" w:cs="宋体"/>
                <w:b/>
                <w:sz w:val="24"/>
                <w:szCs w:val="24"/>
              </w:rPr>
              <w:t>运</w:t>
            </w:r>
          </w:p>
          <w:p>
            <w:pPr>
              <w:spacing w:line="440" w:lineRule="auto"/>
              <w:jc w:val="center"/>
              <w:rPr>
                <w:rFonts w:ascii="宋体" w:hAnsi="宋体" w:eastAsia="宋体" w:cs="宋体"/>
                <w:b/>
                <w:sz w:val="24"/>
                <w:szCs w:val="24"/>
              </w:rPr>
            </w:pPr>
            <w:r>
              <w:rPr>
                <w:rFonts w:ascii="宋体" w:hAnsi="宋体" w:eastAsia="宋体" w:cs="宋体"/>
                <w:b/>
                <w:sz w:val="24"/>
                <w:szCs w:val="24"/>
              </w:rPr>
              <w:t>行</w:t>
            </w:r>
          </w:p>
          <w:p>
            <w:pPr>
              <w:spacing w:line="440" w:lineRule="auto"/>
              <w:jc w:val="center"/>
              <w:rPr>
                <w:rFonts w:ascii="宋体" w:hAnsi="宋体" w:eastAsia="宋体" w:cs="宋体"/>
                <w:b/>
                <w:sz w:val="24"/>
                <w:szCs w:val="24"/>
              </w:rPr>
            </w:pPr>
            <w:r>
              <w:rPr>
                <w:rFonts w:ascii="宋体" w:hAnsi="宋体" w:eastAsia="宋体" w:cs="宋体"/>
                <w:b/>
                <w:sz w:val="24"/>
                <w:szCs w:val="24"/>
              </w:rPr>
              <w:t>管</w:t>
            </w:r>
          </w:p>
          <w:p>
            <w:pPr>
              <w:spacing w:line="440" w:lineRule="auto"/>
              <w:jc w:val="center"/>
              <w:rPr>
                <w:rFonts w:ascii="宋体" w:hAnsi="宋体" w:eastAsia="宋体" w:cs="宋体"/>
                <w:b/>
                <w:sz w:val="24"/>
                <w:szCs w:val="24"/>
              </w:rPr>
            </w:pPr>
            <w:r>
              <w:rPr>
                <w:rFonts w:ascii="宋体" w:hAnsi="宋体" w:eastAsia="宋体" w:cs="宋体"/>
                <w:b/>
                <w:sz w:val="24"/>
                <w:szCs w:val="24"/>
              </w:rPr>
              <w:t>理</w:t>
            </w:r>
          </w:p>
          <w:p>
            <w:pPr>
              <w:spacing w:line="440" w:lineRule="auto"/>
              <w:jc w:val="center"/>
              <w:rPr>
                <w:rFonts w:ascii="宋体" w:hAnsi="宋体" w:eastAsia="宋体" w:cs="宋体"/>
                <w:b/>
                <w:sz w:val="24"/>
                <w:szCs w:val="24"/>
              </w:rPr>
            </w:pPr>
            <w:r>
              <w:rPr>
                <w:rFonts w:ascii="宋体" w:hAnsi="宋体" w:eastAsia="宋体" w:cs="宋体"/>
                <w:b/>
                <w:sz w:val="24"/>
                <w:szCs w:val="24"/>
              </w:rPr>
              <w:t>评</w:t>
            </w:r>
          </w:p>
          <w:p>
            <w:pPr>
              <w:spacing w:line="440" w:lineRule="auto"/>
              <w:jc w:val="center"/>
              <w:rPr>
                <w:rFonts w:ascii="宋体" w:hAnsi="宋体" w:eastAsia="宋体" w:cs="宋体"/>
                <w:sz w:val="24"/>
                <w:szCs w:val="24"/>
              </w:rPr>
            </w:pPr>
            <w:r>
              <w:rPr>
                <w:rFonts w:ascii="宋体" w:hAnsi="宋体" w:eastAsia="宋体" w:cs="宋体"/>
                <w:b/>
                <w:sz w:val="24"/>
                <w:szCs w:val="24"/>
              </w:rPr>
              <w:t>价</w:t>
            </w:r>
          </w:p>
        </w:tc>
        <w:tc>
          <w:tcPr>
            <w:tcW w:w="7539"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水电站已落实工作票制度、操作票制度、交接班制度、巡视检查制度、设备缺陷管理制度、设备定期轮换制度、设备检修管理等制度。规章制度及人员管理的安全等级评定为B级。</w:t>
            </w:r>
          </w:p>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水电站调度方案服从防汛部门统一调度，调度方案、调度规程和调度制度部分缺失；调度原则及调度权限清晰；调度运行方案的安全等级评定为B级。</w:t>
            </w:r>
          </w:p>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电站已委托设计单位编制防洪应急预案，应急预案已报当地防汛抗旱指挥部审查和当地政府批准。有举办应急预案培训和演习。防洪应急预案的安全等级评定为B级。</w:t>
            </w:r>
          </w:p>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检查及维修的安全等级评定为B级。</w:t>
            </w:r>
          </w:p>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监测仪器设备完好性的安全等级评定为B级。</w:t>
            </w:r>
          </w:p>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监测执行力度的安全等级评定为B级。</w:t>
            </w:r>
          </w:p>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监测资料的整编分析的安全等级评定为B级。</w:t>
            </w:r>
          </w:p>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综合以上情况，依据《小型水电站安全检测与评价规范》（GB/T50876-2013）中“安全运行管理评价”的要求，该工程的运行管理等级评定为B级。</w:t>
            </w:r>
          </w:p>
        </w:tc>
      </w:tr>
      <w:tr>
        <w:tblPrEx>
          <w:shd w:val="clear" w:color="auto" w:fill="auto"/>
          <w:tblCellMar>
            <w:top w:w="0" w:type="dxa"/>
            <w:left w:w="10" w:type="dxa"/>
            <w:bottom w:w="0" w:type="dxa"/>
            <w:right w:w="10" w:type="dxa"/>
          </w:tblCellMar>
        </w:tblPrEx>
        <w:trPr>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360" w:lineRule="auto"/>
              <w:ind w:firstLine="560"/>
              <w:rPr>
                <w:rFonts w:ascii="宋体" w:hAnsi="宋体" w:eastAsia="宋体" w:cs="宋体"/>
                <w:sz w:val="24"/>
                <w:szCs w:val="24"/>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40" w:lineRule="auto"/>
              <w:jc w:val="center"/>
              <w:rPr>
                <w:rFonts w:ascii="宋体" w:hAnsi="宋体" w:eastAsia="宋体" w:cs="宋体"/>
                <w:b/>
                <w:sz w:val="24"/>
                <w:szCs w:val="24"/>
              </w:rPr>
            </w:pPr>
            <w:r>
              <w:rPr>
                <w:rFonts w:ascii="宋体" w:hAnsi="宋体" w:eastAsia="宋体" w:cs="宋体"/>
                <w:b/>
                <w:sz w:val="24"/>
                <w:szCs w:val="24"/>
              </w:rPr>
              <w:t>防</w:t>
            </w:r>
          </w:p>
          <w:p>
            <w:pPr>
              <w:spacing w:line="440" w:lineRule="auto"/>
              <w:jc w:val="center"/>
              <w:rPr>
                <w:rFonts w:ascii="宋体" w:hAnsi="宋体" w:eastAsia="宋体" w:cs="宋体"/>
                <w:b/>
                <w:sz w:val="24"/>
                <w:szCs w:val="24"/>
              </w:rPr>
            </w:pPr>
            <w:r>
              <w:rPr>
                <w:rFonts w:ascii="宋体" w:hAnsi="宋体" w:eastAsia="宋体" w:cs="宋体"/>
                <w:b/>
                <w:sz w:val="24"/>
                <w:szCs w:val="24"/>
              </w:rPr>
              <w:t>洪</w:t>
            </w:r>
          </w:p>
          <w:p>
            <w:pPr>
              <w:spacing w:line="440" w:lineRule="auto"/>
              <w:jc w:val="center"/>
              <w:rPr>
                <w:rFonts w:ascii="宋体" w:hAnsi="宋体" w:eastAsia="宋体" w:cs="宋体"/>
                <w:b/>
                <w:sz w:val="24"/>
                <w:szCs w:val="24"/>
              </w:rPr>
            </w:pPr>
            <w:r>
              <w:rPr>
                <w:rFonts w:ascii="宋体" w:hAnsi="宋体" w:eastAsia="宋体" w:cs="宋体"/>
                <w:b/>
                <w:sz w:val="24"/>
                <w:szCs w:val="24"/>
              </w:rPr>
              <w:t>标</w:t>
            </w:r>
          </w:p>
          <w:p>
            <w:pPr>
              <w:spacing w:line="440" w:lineRule="auto"/>
              <w:jc w:val="center"/>
              <w:rPr>
                <w:rFonts w:ascii="宋体" w:hAnsi="宋体" w:eastAsia="宋体" w:cs="宋体"/>
                <w:b/>
                <w:sz w:val="24"/>
                <w:szCs w:val="24"/>
              </w:rPr>
            </w:pPr>
            <w:r>
              <w:rPr>
                <w:rFonts w:ascii="宋体" w:hAnsi="宋体" w:eastAsia="宋体" w:cs="宋体"/>
                <w:b/>
                <w:sz w:val="24"/>
                <w:szCs w:val="24"/>
              </w:rPr>
              <w:t>准</w:t>
            </w:r>
          </w:p>
          <w:p>
            <w:pPr>
              <w:spacing w:line="440" w:lineRule="auto"/>
              <w:jc w:val="center"/>
              <w:rPr>
                <w:rFonts w:ascii="宋体" w:hAnsi="宋体" w:eastAsia="宋体" w:cs="宋体"/>
                <w:b/>
                <w:sz w:val="24"/>
                <w:szCs w:val="24"/>
              </w:rPr>
            </w:pPr>
            <w:r>
              <w:rPr>
                <w:rFonts w:ascii="宋体" w:hAnsi="宋体" w:eastAsia="宋体" w:cs="宋体"/>
                <w:b/>
                <w:sz w:val="24"/>
                <w:szCs w:val="24"/>
              </w:rPr>
              <w:t>复</w:t>
            </w:r>
          </w:p>
          <w:p>
            <w:pPr>
              <w:spacing w:line="440" w:lineRule="auto"/>
              <w:jc w:val="center"/>
              <w:rPr>
                <w:rFonts w:ascii="宋体" w:hAnsi="宋体" w:eastAsia="宋体" w:cs="宋体"/>
                <w:sz w:val="24"/>
                <w:szCs w:val="24"/>
              </w:rPr>
            </w:pPr>
            <w:r>
              <w:rPr>
                <w:rFonts w:ascii="宋体" w:hAnsi="宋体" w:eastAsia="宋体" w:cs="宋体"/>
                <w:b/>
                <w:sz w:val="24"/>
                <w:szCs w:val="24"/>
              </w:rPr>
              <w:t>核</w:t>
            </w:r>
          </w:p>
        </w:tc>
        <w:tc>
          <w:tcPr>
            <w:tcW w:w="7539"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石古冲二期水电站工程由引水陂(4座高度为1.5m浆砌石坝)、引水渠道、引水隧洞、压力前池、压力钢管、电站厂房及升压站组成。</w:t>
            </w:r>
          </w:p>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本工程区域河床坡降较陡，洪水属山区洪水，骤涨骤落，洪水历时较短，本工程自建成运行至今未发生洪水翻越引水渠道与压力前池情形，因此引水渠道与压力前池防洪复核满足规范要求。</w:t>
            </w:r>
          </w:p>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电站厂房位于杉木河右岸的一级阶地上，厂房地面高程高于历年洪水位及校核洪水位加安全超高。因此，厂房防洪满足规范要求。</w:t>
            </w:r>
          </w:p>
          <w:p>
            <w:pPr>
              <w:spacing w:line="360" w:lineRule="auto"/>
              <w:ind w:firstLine="560"/>
              <w:jc w:val="both"/>
              <w:rPr>
                <w:rFonts w:ascii="宋体" w:hAnsi="宋体" w:eastAsia="宋体" w:cs="宋体"/>
                <w:sz w:val="24"/>
                <w:szCs w:val="24"/>
              </w:rPr>
            </w:pPr>
            <w:r>
              <w:rPr>
                <w:rFonts w:hint="eastAsia" w:ascii="宋体" w:hAnsi="宋体" w:eastAsia="宋体" w:cs="宋体"/>
                <w:sz w:val="24"/>
                <w:szCs w:val="24"/>
              </w:rPr>
              <w:t>通过洪水复核计算、抗洪能力复核计算，本工程引水陂头、引水渠道、压力前池、厂房的防洪高程均满足要求。根据《水库大坝安全评价导则》的规定，本工程防洪安全综合评价为B级。</w:t>
            </w:r>
          </w:p>
          <w:p>
            <w:pPr>
              <w:tabs>
                <w:tab w:val="left" w:pos="2472"/>
              </w:tabs>
              <w:jc w:val="left"/>
              <w:rPr>
                <w:sz w:val="24"/>
                <w:szCs w:val="24"/>
              </w:rPr>
            </w:pPr>
            <w:r>
              <w:rPr>
                <w:rFonts w:ascii="Calibri" w:hAnsi="Calibri" w:eastAsia="Calibri" w:cs="Calibri"/>
                <w:sz w:val="24"/>
                <w:szCs w:val="24"/>
              </w:rPr>
              <w:tab/>
            </w:r>
          </w:p>
        </w:tc>
      </w:tr>
      <w:tr>
        <w:tblPrEx>
          <w:shd w:val="clear" w:color="auto" w:fill="auto"/>
          <w:tblCellMar>
            <w:top w:w="0" w:type="dxa"/>
            <w:left w:w="10" w:type="dxa"/>
            <w:bottom w:w="0" w:type="dxa"/>
            <w:right w:w="10" w:type="dxa"/>
          </w:tblCellMar>
        </w:tblPrEx>
        <w:trPr>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sz w:val="24"/>
                <w:szCs w:val="24"/>
              </w:rPr>
            </w:pPr>
            <w:r>
              <w:rPr>
                <w:rFonts w:ascii="宋体" w:hAnsi="宋体" w:eastAsia="宋体" w:cs="宋体"/>
                <w:b/>
                <w:sz w:val="24"/>
                <w:szCs w:val="24"/>
              </w:rPr>
              <w:t>水电站安全分析评价</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40" w:lineRule="auto"/>
              <w:jc w:val="center"/>
              <w:rPr>
                <w:rFonts w:ascii="宋体" w:hAnsi="宋体" w:eastAsia="宋体" w:cs="宋体"/>
                <w:b/>
                <w:sz w:val="24"/>
                <w:szCs w:val="24"/>
              </w:rPr>
            </w:pPr>
            <w:r>
              <w:rPr>
                <w:rFonts w:ascii="宋体" w:hAnsi="宋体" w:eastAsia="宋体" w:cs="宋体"/>
                <w:b/>
                <w:sz w:val="24"/>
                <w:szCs w:val="24"/>
              </w:rPr>
              <w:t>结</w:t>
            </w:r>
          </w:p>
          <w:p>
            <w:pPr>
              <w:spacing w:line="440" w:lineRule="auto"/>
              <w:jc w:val="center"/>
              <w:rPr>
                <w:rFonts w:ascii="宋体" w:hAnsi="宋体" w:eastAsia="宋体" w:cs="宋体"/>
                <w:b/>
                <w:sz w:val="24"/>
                <w:szCs w:val="24"/>
              </w:rPr>
            </w:pPr>
            <w:r>
              <w:rPr>
                <w:rFonts w:ascii="宋体" w:hAnsi="宋体" w:eastAsia="宋体" w:cs="宋体"/>
                <w:b/>
                <w:sz w:val="24"/>
                <w:szCs w:val="24"/>
              </w:rPr>
              <w:t>构</w:t>
            </w:r>
          </w:p>
          <w:p>
            <w:pPr>
              <w:spacing w:line="440" w:lineRule="auto"/>
              <w:jc w:val="center"/>
              <w:rPr>
                <w:rFonts w:ascii="宋体" w:hAnsi="宋体" w:eastAsia="宋体" w:cs="宋体"/>
                <w:b/>
                <w:sz w:val="24"/>
                <w:szCs w:val="24"/>
              </w:rPr>
            </w:pPr>
            <w:r>
              <w:rPr>
                <w:rFonts w:ascii="宋体" w:hAnsi="宋体" w:eastAsia="宋体" w:cs="宋体"/>
                <w:b/>
                <w:sz w:val="24"/>
                <w:szCs w:val="24"/>
              </w:rPr>
              <w:t>安</w:t>
            </w:r>
          </w:p>
          <w:p>
            <w:pPr>
              <w:spacing w:line="440" w:lineRule="auto"/>
              <w:jc w:val="center"/>
              <w:rPr>
                <w:rFonts w:ascii="宋体" w:hAnsi="宋体" w:eastAsia="宋体" w:cs="宋体"/>
                <w:b/>
                <w:sz w:val="24"/>
                <w:szCs w:val="24"/>
              </w:rPr>
            </w:pPr>
            <w:r>
              <w:rPr>
                <w:rFonts w:ascii="宋体" w:hAnsi="宋体" w:eastAsia="宋体" w:cs="宋体"/>
                <w:b/>
                <w:sz w:val="24"/>
                <w:szCs w:val="24"/>
              </w:rPr>
              <w:t>全</w:t>
            </w:r>
          </w:p>
          <w:p>
            <w:pPr>
              <w:spacing w:line="440" w:lineRule="auto"/>
              <w:jc w:val="center"/>
              <w:rPr>
                <w:rFonts w:ascii="宋体" w:hAnsi="宋体" w:eastAsia="宋体" w:cs="宋体"/>
                <w:b/>
                <w:sz w:val="24"/>
                <w:szCs w:val="24"/>
              </w:rPr>
            </w:pPr>
            <w:r>
              <w:rPr>
                <w:rFonts w:ascii="宋体" w:hAnsi="宋体" w:eastAsia="宋体" w:cs="宋体"/>
                <w:b/>
                <w:sz w:val="24"/>
                <w:szCs w:val="24"/>
              </w:rPr>
              <w:t>评</w:t>
            </w:r>
          </w:p>
          <w:p>
            <w:pPr>
              <w:spacing w:line="440" w:lineRule="auto"/>
              <w:jc w:val="center"/>
              <w:rPr>
                <w:rFonts w:ascii="宋体" w:hAnsi="宋体" w:eastAsia="宋体" w:cs="宋体"/>
                <w:sz w:val="24"/>
                <w:szCs w:val="24"/>
              </w:rPr>
            </w:pPr>
            <w:r>
              <w:rPr>
                <w:rFonts w:ascii="宋体" w:hAnsi="宋体" w:eastAsia="宋体" w:cs="宋体"/>
                <w:b/>
                <w:sz w:val="24"/>
                <w:szCs w:val="24"/>
              </w:rPr>
              <w:t>价</w:t>
            </w:r>
          </w:p>
        </w:tc>
        <w:tc>
          <w:tcPr>
            <w:tcW w:w="7539"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通过对石古冲二期水电站工程主要建筑物的结构复核和检测分析，结果如下：</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通过对引水陂头的抗滑稳定及应力分析计算，引水陂头结构稳定，引水陂头质量评定为B级。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通过对引水渠边墙抗滑稳定、抗倾覆稳定、地基应力的分析计算，引水渠结构稳定和安全。因此引水渠结构安全评为B级。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3、通过对引水隧洞进行检测，该隧洞没有出现任何沉陷、变形、断裂及渗漏现象，未发现安全隐患，故认为隧洞结构安全。</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通过对压力钢管结构复核，镇墩、支墩的安全系数满足设计和规范要求，对镇墩、支墩进行现场检查，无不稳定现象，压力钢管结构稳定和安全。因此压力钢管的结构安全评为B级。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通过对厂房主要结构进行复核，厂房结构满足钢筋混凝土设计规范要求，对基础进行检查，厂房基础稳定，无安全隐患。经过对厂房承重结构进行检测，强度符合设计要求。柱、天面主梁、次梁、天面板等无开裂，未发现大的变形，无结构安全隐患。因此发电厂房结构安全评为B级。</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升压站坐落在基岩上，四周未发现不稳定地质情况，升压站的结构安全。因此升压站结构安全评为B级。</w:t>
            </w:r>
          </w:p>
          <w:p>
            <w:pPr>
              <w:spacing w:line="360" w:lineRule="auto"/>
              <w:rPr>
                <w:rFonts w:ascii="宋体" w:hAnsi="宋体" w:eastAsia="宋体" w:cs="宋体"/>
                <w:sz w:val="24"/>
                <w:szCs w:val="24"/>
              </w:rPr>
            </w:pPr>
            <w:r>
              <w:rPr>
                <w:rFonts w:ascii="宋体" w:hAnsi="宋体" w:eastAsia="宋体" w:cs="宋体"/>
                <w:sz w:val="24"/>
                <w:szCs w:val="24"/>
              </w:rPr>
              <w:t xml:space="preserve">    根据对</w:t>
            </w:r>
            <w:r>
              <w:rPr>
                <w:rFonts w:hint="eastAsia" w:ascii="宋体" w:hAnsi="宋体" w:eastAsia="宋体" w:cs="宋体"/>
                <w:sz w:val="24"/>
                <w:szCs w:val="24"/>
              </w:rPr>
              <w:t>石古冲二期</w:t>
            </w:r>
            <w:r>
              <w:rPr>
                <w:rFonts w:ascii="宋体" w:hAnsi="宋体" w:eastAsia="宋体" w:cs="宋体"/>
                <w:sz w:val="24"/>
                <w:szCs w:val="24"/>
              </w:rPr>
              <w:t>水电站主要建筑物的结构复核和检查分析的结果，</w:t>
            </w:r>
            <w:r>
              <w:rPr>
                <w:rFonts w:hint="eastAsia" w:ascii="宋体" w:hAnsi="宋体" w:eastAsia="宋体" w:cs="宋体"/>
                <w:sz w:val="24"/>
                <w:szCs w:val="24"/>
              </w:rPr>
              <w:t>根据《水库大坝安全评价导则》(SL258-2017)、《小型水电站安全检测与评价规范》(GB/T50876-2013)规定，水电站建筑结构安全综合评价评定为B级。</w:t>
            </w:r>
          </w:p>
        </w:tc>
      </w:tr>
      <w:tr>
        <w:tblPrEx>
          <w:shd w:val="clear" w:color="auto" w:fill="auto"/>
          <w:tblCellMar>
            <w:top w:w="0" w:type="dxa"/>
            <w:left w:w="10" w:type="dxa"/>
            <w:bottom w:w="0" w:type="dxa"/>
            <w:right w:w="10" w:type="dxa"/>
          </w:tblCellMar>
        </w:tblPrEx>
        <w:trPr>
          <w:jc w:val="center"/>
        </w:trPr>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80" w:lineRule="auto"/>
              <w:jc w:val="center"/>
              <w:rPr>
                <w:rFonts w:ascii="宋体" w:hAnsi="宋体" w:eastAsia="宋体" w:cs="宋体"/>
                <w:sz w:val="24"/>
                <w:szCs w:val="24"/>
              </w:rPr>
            </w:pPr>
            <w:r>
              <w:rPr>
                <w:rFonts w:ascii="宋体" w:hAnsi="宋体" w:eastAsia="宋体" w:cs="宋体"/>
                <w:b/>
                <w:sz w:val="24"/>
                <w:szCs w:val="24"/>
              </w:rPr>
              <w:t>水电站安全分析评价</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40" w:lineRule="auto"/>
              <w:jc w:val="center"/>
              <w:rPr>
                <w:rFonts w:ascii="宋体" w:hAnsi="宋体" w:eastAsia="宋体" w:cs="宋体"/>
                <w:b/>
                <w:sz w:val="24"/>
                <w:szCs w:val="24"/>
              </w:rPr>
            </w:pPr>
            <w:r>
              <w:rPr>
                <w:rFonts w:ascii="宋体" w:hAnsi="宋体" w:eastAsia="宋体" w:cs="宋体"/>
                <w:b/>
                <w:sz w:val="24"/>
                <w:szCs w:val="24"/>
              </w:rPr>
              <w:t>渗</w:t>
            </w:r>
          </w:p>
          <w:p>
            <w:pPr>
              <w:spacing w:line="440" w:lineRule="auto"/>
              <w:jc w:val="center"/>
              <w:rPr>
                <w:rFonts w:ascii="宋体" w:hAnsi="宋体" w:eastAsia="宋体" w:cs="宋体"/>
                <w:b/>
                <w:sz w:val="24"/>
                <w:szCs w:val="24"/>
              </w:rPr>
            </w:pPr>
            <w:r>
              <w:rPr>
                <w:rFonts w:ascii="宋体" w:hAnsi="宋体" w:eastAsia="宋体" w:cs="宋体"/>
                <w:b/>
                <w:sz w:val="24"/>
                <w:szCs w:val="24"/>
              </w:rPr>
              <w:t>流</w:t>
            </w:r>
          </w:p>
          <w:p>
            <w:pPr>
              <w:spacing w:line="440" w:lineRule="auto"/>
              <w:jc w:val="center"/>
              <w:rPr>
                <w:rFonts w:ascii="宋体" w:hAnsi="宋体" w:eastAsia="宋体" w:cs="宋体"/>
                <w:b/>
                <w:sz w:val="24"/>
                <w:szCs w:val="24"/>
              </w:rPr>
            </w:pPr>
            <w:r>
              <w:rPr>
                <w:rFonts w:ascii="宋体" w:hAnsi="宋体" w:eastAsia="宋体" w:cs="宋体"/>
                <w:b/>
                <w:sz w:val="24"/>
                <w:szCs w:val="24"/>
              </w:rPr>
              <w:t>安</w:t>
            </w:r>
          </w:p>
          <w:p>
            <w:pPr>
              <w:spacing w:line="440" w:lineRule="auto"/>
              <w:jc w:val="center"/>
              <w:rPr>
                <w:rFonts w:ascii="宋体" w:hAnsi="宋体" w:eastAsia="宋体" w:cs="宋体"/>
                <w:b/>
                <w:sz w:val="24"/>
                <w:szCs w:val="24"/>
              </w:rPr>
            </w:pPr>
            <w:r>
              <w:rPr>
                <w:rFonts w:ascii="宋体" w:hAnsi="宋体" w:eastAsia="宋体" w:cs="宋体"/>
                <w:b/>
                <w:sz w:val="24"/>
                <w:szCs w:val="24"/>
              </w:rPr>
              <w:t>全</w:t>
            </w:r>
          </w:p>
          <w:p>
            <w:pPr>
              <w:spacing w:line="440" w:lineRule="auto"/>
              <w:jc w:val="center"/>
              <w:rPr>
                <w:rFonts w:ascii="宋体" w:hAnsi="宋体" w:eastAsia="宋体" w:cs="宋体"/>
                <w:b/>
                <w:sz w:val="24"/>
                <w:szCs w:val="24"/>
              </w:rPr>
            </w:pPr>
            <w:r>
              <w:rPr>
                <w:rFonts w:ascii="宋体" w:hAnsi="宋体" w:eastAsia="宋体" w:cs="宋体"/>
                <w:b/>
                <w:sz w:val="24"/>
                <w:szCs w:val="24"/>
              </w:rPr>
              <w:t>评</w:t>
            </w:r>
          </w:p>
          <w:p>
            <w:pPr>
              <w:spacing w:line="440" w:lineRule="auto"/>
              <w:jc w:val="center"/>
              <w:rPr>
                <w:rFonts w:ascii="宋体" w:hAnsi="宋体" w:eastAsia="宋体" w:cs="宋体"/>
                <w:sz w:val="24"/>
                <w:szCs w:val="24"/>
              </w:rPr>
            </w:pPr>
            <w:r>
              <w:rPr>
                <w:rFonts w:ascii="宋体" w:hAnsi="宋体" w:eastAsia="宋体" w:cs="宋体"/>
                <w:b/>
                <w:sz w:val="24"/>
                <w:szCs w:val="24"/>
              </w:rPr>
              <w:t>价</w:t>
            </w:r>
          </w:p>
        </w:tc>
        <w:tc>
          <w:tcPr>
            <w:tcW w:w="7539"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该工程引水陂头基本能按要求进行施工，上、下游的砌石表面基本平整、顺直，无较大的凹、凸面和破损面出现。经现场观察，坝体未发现渗漏现象。因此拦河坝渗流安全评为B级。</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根据现场检查，引水渠道、引水隧洞和前池沿线边坡稳定，没有出现滑坡和崩塌现象。镇墩表面光滑未出现裂纹、沉降不均或破损等现象，压力钢管沿程未发现渗透、漏水现象。多年来工程运行稳定，故认为引水系统的渗流满足要求。因此引水系统的渗流安全评为B级。</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根据现场检查，厂房内梁系布置较为合理，经过多年运行未出现开裂、漏水现象，厂房渗流评价为合格。因此发电厂房渗流评价安全评定为B级。</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综上所述，根据《水库大坝安全评价导则》(SL258-2017)、《小型水电站安全检测与评价规范》(GB/T50876-2013)的规定，水电站渗流安全综合评为B级。</w:t>
            </w:r>
          </w:p>
          <w:p>
            <w:pPr>
              <w:spacing w:line="360" w:lineRule="auto"/>
              <w:ind w:firstLine="560"/>
              <w:jc w:val="left"/>
              <w:rPr>
                <w:rFonts w:ascii="宋体" w:hAnsi="宋体" w:eastAsia="宋体" w:cs="宋体"/>
                <w:sz w:val="24"/>
                <w:szCs w:val="24"/>
              </w:rPr>
            </w:pPr>
          </w:p>
        </w:tc>
      </w:tr>
      <w:tr>
        <w:tblPrEx>
          <w:shd w:val="clear" w:color="auto" w:fill="auto"/>
          <w:tblCellMar>
            <w:top w:w="0" w:type="dxa"/>
            <w:left w:w="10" w:type="dxa"/>
            <w:bottom w:w="0" w:type="dxa"/>
            <w:right w:w="10" w:type="dxa"/>
          </w:tblCellMar>
        </w:tblPrEx>
        <w:trPr>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360" w:lineRule="auto"/>
              <w:ind w:firstLine="560"/>
              <w:rPr>
                <w:rFonts w:ascii="宋体" w:hAnsi="宋体" w:eastAsia="宋体" w:cs="宋体"/>
                <w:sz w:val="24"/>
                <w:szCs w:val="24"/>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40" w:lineRule="auto"/>
              <w:jc w:val="center"/>
              <w:rPr>
                <w:rFonts w:ascii="宋体" w:hAnsi="宋体" w:eastAsia="宋体" w:cs="宋体"/>
                <w:b/>
                <w:sz w:val="24"/>
                <w:szCs w:val="24"/>
              </w:rPr>
            </w:pPr>
            <w:r>
              <w:rPr>
                <w:rFonts w:ascii="宋体" w:hAnsi="宋体" w:eastAsia="宋体" w:cs="宋体"/>
                <w:b/>
                <w:sz w:val="24"/>
                <w:szCs w:val="24"/>
              </w:rPr>
              <w:t>抗</w:t>
            </w:r>
          </w:p>
          <w:p>
            <w:pPr>
              <w:spacing w:line="440" w:lineRule="auto"/>
              <w:jc w:val="center"/>
              <w:rPr>
                <w:rFonts w:ascii="宋体" w:hAnsi="宋体" w:eastAsia="宋体" w:cs="宋体"/>
                <w:b/>
                <w:sz w:val="24"/>
                <w:szCs w:val="24"/>
              </w:rPr>
            </w:pPr>
            <w:r>
              <w:rPr>
                <w:rFonts w:ascii="宋体" w:hAnsi="宋体" w:eastAsia="宋体" w:cs="宋体"/>
                <w:b/>
                <w:sz w:val="24"/>
                <w:szCs w:val="24"/>
              </w:rPr>
              <w:t>震</w:t>
            </w:r>
          </w:p>
          <w:p>
            <w:pPr>
              <w:spacing w:line="440" w:lineRule="auto"/>
              <w:jc w:val="center"/>
              <w:rPr>
                <w:rFonts w:ascii="宋体" w:hAnsi="宋体" w:eastAsia="宋体" w:cs="宋体"/>
                <w:b/>
                <w:sz w:val="24"/>
                <w:szCs w:val="24"/>
              </w:rPr>
            </w:pPr>
            <w:r>
              <w:rPr>
                <w:rFonts w:ascii="宋体" w:hAnsi="宋体" w:eastAsia="宋体" w:cs="宋体"/>
                <w:b/>
                <w:sz w:val="24"/>
                <w:szCs w:val="24"/>
              </w:rPr>
              <w:t>安</w:t>
            </w:r>
          </w:p>
          <w:p>
            <w:pPr>
              <w:spacing w:line="440" w:lineRule="auto"/>
              <w:jc w:val="center"/>
              <w:rPr>
                <w:rFonts w:ascii="宋体" w:hAnsi="宋体" w:eastAsia="宋体" w:cs="宋体"/>
                <w:b/>
                <w:sz w:val="24"/>
                <w:szCs w:val="24"/>
              </w:rPr>
            </w:pPr>
            <w:r>
              <w:rPr>
                <w:rFonts w:ascii="宋体" w:hAnsi="宋体" w:eastAsia="宋体" w:cs="宋体"/>
                <w:b/>
                <w:sz w:val="24"/>
                <w:szCs w:val="24"/>
              </w:rPr>
              <w:t>全</w:t>
            </w:r>
          </w:p>
          <w:p>
            <w:pPr>
              <w:spacing w:line="440" w:lineRule="auto"/>
              <w:jc w:val="center"/>
              <w:rPr>
                <w:rFonts w:ascii="宋体" w:hAnsi="宋体" w:eastAsia="宋体" w:cs="宋体"/>
                <w:b/>
                <w:sz w:val="24"/>
                <w:szCs w:val="24"/>
              </w:rPr>
            </w:pPr>
            <w:r>
              <w:rPr>
                <w:rFonts w:ascii="宋体" w:hAnsi="宋体" w:eastAsia="宋体" w:cs="宋体"/>
                <w:b/>
                <w:sz w:val="24"/>
                <w:szCs w:val="24"/>
              </w:rPr>
              <w:t>复</w:t>
            </w:r>
          </w:p>
          <w:p>
            <w:pPr>
              <w:spacing w:line="440" w:lineRule="auto"/>
              <w:jc w:val="center"/>
              <w:rPr>
                <w:rFonts w:ascii="宋体" w:hAnsi="宋体" w:eastAsia="宋体" w:cs="宋体"/>
                <w:sz w:val="24"/>
                <w:szCs w:val="24"/>
              </w:rPr>
            </w:pPr>
            <w:r>
              <w:rPr>
                <w:rFonts w:ascii="宋体" w:hAnsi="宋体" w:eastAsia="宋体" w:cs="宋体"/>
                <w:b/>
                <w:sz w:val="24"/>
                <w:szCs w:val="24"/>
              </w:rPr>
              <w:t>核</w:t>
            </w:r>
          </w:p>
        </w:tc>
        <w:tc>
          <w:tcPr>
            <w:tcW w:w="7539"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360" w:lineRule="auto"/>
              <w:ind w:firstLine="480"/>
              <w:rPr>
                <w:rFonts w:hint="eastAsia" w:ascii="宋体" w:hAnsi="宋体" w:eastAsia="宋体" w:cs="宋体"/>
                <w:sz w:val="24"/>
                <w:szCs w:val="24"/>
              </w:rPr>
            </w:pPr>
            <w:r>
              <w:rPr>
                <w:rFonts w:ascii="宋体" w:hAnsi="宋体" w:eastAsia="宋体" w:cs="宋体"/>
                <w:sz w:val="24"/>
                <w:szCs w:val="24"/>
              </w:rPr>
              <w:t>根据《中国地震动参数区划图》，坝区地震基本烈度为Ⅵ度。按《水工建筑物抗震设计规范》和《水库大坝安全评价导则》的规定，可不进行抗震计算。因此，本次设计安全鉴定未进行抗震复核。</w:t>
            </w: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ind w:firstLine="480"/>
              <w:rPr>
                <w:rFonts w:hint="eastAsia" w:ascii="宋体" w:hAnsi="宋体" w:eastAsia="宋体" w:cs="宋体"/>
                <w:sz w:val="24"/>
                <w:szCs w:val="24"/>
              </w:rPr>
            </w:pPr>
          </w:p>
          <w:p>
            <w:pPr>
              <w:spacing w:line="360" w:lineRule="auto"/>
              <w:rPr>
                <w:rFonts w:ascii="宋体" w:hAnsi="宋体" w:eastAsia="宋体" w:cs="宋体"/>
                <w:sz w:val="24"/>
                <w:szCs w:val="24"/>
              </w:rPr>
            </w:pPr>
          </w:p>
        </w:tc>
      </w:tr>
      <w:tr>
        <w:tblPrEx>
          <w:shd w:val="clear" w:color="auto" w:fill="auto"/>
          <w:tblCellMar>
            <w:top w:w="0" w:type="dxa"/>
            <w:left w:w="10" w:type="dxa"/>
            <w:bottom w:w="0" w:type="dxa"/>
            <w:right w:w="10" w:type="dxa"/>
          </w:tblCellMar>
        </w:tblPrEx>
        <w:trPr>
          <w:jc w:val="center"/>
        </w:trPr>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360" w:lineRule="auto"/>
              <w:ind w:firstLine="560"/>
              <w:rPr>
                <w:rFonts w:ascii="宋体" w:hAnsi="宋体" w:eastAsia="宋体" w:cs="宋体"/>
                <w:sz w:val="24"/>
                <w:szCs w:val="24"/>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40" w:lineRule="auto"/>
              <w:jc w:val="center"/>
              <w:rPr>
                <w:rFonts w:ascii="宋体" w:hAnsi="宋体" w:eastAsia="宋体" w:cs="宋体"/>
                <w:b/>
                <w:sz w:val="24"/>
                <w:szCs w:val="24"/>
              </w:rPr>
            </w:pPr>
            <w:r>
              <w:rPr>
                <w:rFonts w:ascii="宋体" w:hAnsi="宋体" w:eastAsia="宋体" w:cs="宋体"/>
                <w:b/>
                <w:sz w:val="24"/>
                <w:szCs w:val="24"/>
              </w:rPr>
              <w:t>金</w:t>
            </w:r>
          </w:p>
          <w:p>
            <w:pPr>
              <w:spacing w:line="440" w:lineRule="auto"/>
              <w:jc w:val="center"/>
              <w:rPr>
                <w:rFonts w:ascii="宋体" w:hAnsi="宋体" w:eastAsia="宋体" w:cs="宋体"/>
                <w:b/>
                <w:sz w:val="24"/>
                <w:szCs w:val="24"/>
              </w:rPr>
            </w:pPr>
            <w:r>
              <w:rPr>
                <w:rFonts w:ascii="宋体" w:hAnsi="宋体" w:eastAsia="宋体" w:cs="宋体"/>
                <w:b/>
                <w:sz w:val="24"/>
                <w:szCs w:val="24"/>
              </w:rPr>
              <w:t>属</w:t>
            </w:r>
          </w:p>
          <w:p>
            <w:pPr>
              <w:spacing w:line="440" w:lineRule="auto"/>
              <w:jc w:val="center"/>
              <w:rPr>
                <w:rFonts w:ascii="宋体" w:hAnsi="宋体" w:eastAsia="宋体" w:cs="宋体"/>
                <w:b/>
                <w:sz w:val="24"/>
                <w:szCs w:val="24"/>
              </w:rPr>
            </w:pPr>
            <w:r>
              <w:rPr>
                <w:rFonts w:ascii="宋体" w:hAnsi="宋体" w:eastAsia="宋体" w:cs="宋体"/>
                <w:b/>
                <w:sz w:val="24"/>
                <w:szCs w:val="24"/>
              </w:rPr>
              <w:t>结</w:t>
            </w:r>
          </w:p>
          <w:p>
            <w:pPr>
              <w:spacing w:line="440" w:lineRule="auto"/>
              <w:jc w:val="center"/>
              <w:rPr>
                <w:rFonts w:ascii="宋体" w:hAnsi="宋体" w:eastAsia="宋体" w:cs="宋体"/>
                <w:b/>
                <w:sz w:val="24"/>
                <w:szCs w:val="24"/>
              </w:rPr>
            </w:pPr>
            <w:r>
              <w:rPr>
                <w:rFonts w:ascii="宋体" w:hAnsi="宋体" w:eastAsia="宋体" w:cs="宋体"/>
                <w:b/>
                <w:sz w:val="24"/>
                <w:szCs w:val="24"/>
              </w:rPr>
              <w:t>构</w:t>
            </w:r>
          </w:p>
          <w:p>
            <w:pPr>
              <w:spacing w:line="440" w:lineRule="auto"/>
              <w:jc w:val="center"/>
              <w:rPr>
                <w:rFonts w:ascii="宋体" w:hAnsi="宋体" w:eastAsia="宋体" w:cs="宋体"/>
                <w:b/>
                <w:sz w:val="24"/>
                <w:szCs w:val="24"/>
              </w:rPr>
            </w:pPr>
            <w:r>
              <w:rPr>
                <w:rFonts w:ascii="宋体" w:hAnsi="宋体" w:eastAsia="宋体" w:cs="宋体"/>
                <w:b/>
                <w:sz w:val="24"/>
                <w:szCs w:val="24"/>
              </w:rPr>
              <w:t>安</w:t>
            </w:r>
          </w:p>
          <w:p>
            <w:pPr>
              <w:spacing w:line="440" w:lineRule="auto"/>
              <w:jc w:val="center"/>
              <w:rPr>
                <w:rFonts w:ascii="宋体" w:hAnsi="宋体" w:eastAsia="宋体" w:cs="宋体"/>
                <w:b/>
                <w:sz w:val="24"/>
                <w:szCs w:val="24"/>
              </w:rPr>
            </w:pPr>
            <w:r>
              <w:rPr>
                <w:rFonts w:ascii="宋体" w:hAnsi="宋体" w:eastAsia="宋体" w:cs="宋体"/>
                <w:b/>
                <w:sz w:val="24"/>
                <w:szCs w:val="24"/>
              </w:rPr>
              <w:t>全</w:t>
            </w:r>
          </w:p>
          <w:p>
            <w:pPr>
              <w:spacing w:line="440" w:lineRule="auto"/>
              <w:jc w:val="center"/>
              <w:rPr>
                <w:rFonts w:ascii="宋体" w:hAnsi="宋体" w:eastAsia="宋体" w:cs="宋体"/>
                <w:b/>
                <w:sz w:val="24"/>
                <w:szCs w:val="24"/>
              </w:rPr>
            </w:pPr>
            <w:r>
              <w:rPr>
                <w:rFonts w:ascii="宋体" w:hAnsi="宋体" w:eastAsia="宋体" w:cs="宋体"/>
                <w:b/>
                <w:sz w:val="24"/>
                <w:szCs w:val="24"/>
              </w:rPr>
              <w:t>评</w:t>
            </w:r>
          </w:p>
          <w:p>
            <w:pPr>
              <w:spacing w:line="440" w:lineRule="auto"/>
              <w:jc w:val="center"/>
              <w:rPr>
                <w:rFonts w:ascii="宋体" w:hAnsi="宋体" w:eastAsia="宋体" w:cs="宋体"/>
                <w:sz w:val="24"/>
                <w:szCs w:val="24"/>
              </w:rPr>
            </w:pPr>
            <w:r>
              <w:rPr>
                <w:rFonts w:ascii="宋体" w:hAnsi="宋体" w:eastAsia="宋体" w:cs="宋体"/>
                <w:b/>
                <w:sz w:val="24"/>
                <w:szCs w:val="24"/>
              </w:rPr>
              <w:t>价</w:t>
            </w:r>
          </w:p>
        </w:tc>
        <w:tc>
          <w:tcPr>
            <w:tcW w:w="7539"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360" w:lineRule="auto"/>
              <w:ind w:firstLine="560"/>
              <w:jc w:val="both"/>
              <w:rPr>
                <w:rFonts w:ascii="宋体" w:hAnsi="宋体" w:eastAsia="宋体" w:cs="宋体"/>
                <w:sz w:val="24"/>
                <w:szCs w:val="24"/>
              </w:rPr>
            </w:pPr>
            <w:r>
              <w:rPr>
                <w:rFonts w:ascii="宋体" w:hAnsi="宋体" w:eastAsia="宋体" w:cs="宋体"/>
                <w:sz w:val="24"/>
                <w:szCs w:val="24"/>
              </w:rPr>
              <w:t>通过对石古冲二期水电站金属结构现场检查和结构复核，结果如下：</w:t>
            </w:r>
          </w:p>
          <w:p>
            <w:pPr>
              <w:spacing w:line="360" w:lineRule="auto"/>
              <w:jc w:val="both"/>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前池拦污栅表面无锈蚀，未见明显变形，拦污栅运行正常。</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通过对压力钢管现场检查，压力钢管无受损，焊接质量良好，外观无裂缝及明显渗漏，局部管段未按期进行防腐除锈。支墩及镇墩混凝土无开裂、沉陷破损情况，支座及支座基础状况良好，压力钢管及支墩、镇墩运行时无明显震动。因此压力钢管安全评定为B级。</w:t>
            </w:r>
          </w:p>
          <w:p>
            <w:pPr>
              <w:spacing w:line="360" w:lineRule="auto"/>
              <w:ind w:firstLine="560"/>
              <w:jc w:val="both"/>
              <w:rPr>
                <w:rFonts w:ascii="宋体" w:hAnsi="宋体" w:eastAsia="宋体" w:cs="宋体"/>
                <w:sz w:val="24"/>
                <w:szCs w:val="24"/>
              </w:rPr>
            </w:pPr>
            <w:r>
              <w:rPr>
                <w:rFonts w:ascii="宋体" w:hAnsi="宋体" w:eastAsia="宋体" w:cs="宋体"/>
                <w:sz w:val="24"/>
                <w:szCs w:val="24"/>
              </w:rPr>
              <w:t>综合以上的结论，根据《水库大坝安全评价导则》（SL258-2017）的有关规定，金属结构安全鉴定级别评为B级。</w:t>
            </w:r>
          </w:p>
        </w:tc>
      </w:tr>
      <w:tr>
        <w:tblPrEx>
          <w:shd w:val="clear" w:color="auto" w:fill="auto"/>
          <w:tblCellMar>
            <w:top w:w="0" w:type="dxa"/>
            <w:left w:w="10" w:type="dxa"/>
            <w:bottom w:w="0" w:type="dxa"/>
            <w:right w:w="10" w:type="dxa"/>
          </w:tblCellMar>
        </w:tblPrEx>
        <w:trPr>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80" w:lineRule="auto"/>
              <w:jc w:val="center"/>
              <w:rPr>
                <w:rFonts w:ascii="宋体" w:hAnsi="宋体" w:eastAsia="宋体" w:cs="宋体"/>
                <w:sz w:val="24"/>
                <w:szCs w:val="24"/>
              </w:rPr>
            </w:pPr>
            <w:r>
              <w:rPr>
                <w:rFonts w:ascii="宋体" w:hAnsi="宋体" w:eastAsia="宋体" w:cs="宋体"/>
                <w:b/>
                <w:sz w:val="24"/>
                <w:szCs w:val="24"/>
              </w:rPr>
              <w:t>水电站安全分析评价</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line="440" w:lineRule="auto"/>
              <w:jc w:val="center"/>
              <w:rPr>
                <w:rFonts w:ascii="宋体" w:hAnsi="宋体" w:eastAsia="宋体" w:cs="宋体"/>
                <w:b/>
                <w:sz w:val="24"/>
                <w:szCs w:val="24"/>
              </w:rPr>
            </w:pPr>
            <w:r>
              <w:rPr>
                <w:rFonts w:ascii="宋体" w:hAnsi="宋体" w:eastAsia="宋体" w:cs="宋体"/>
                <w:b/>
                <w:sz w:val="24"/>
                <w:szCs w:val="24"/>
              </w:rPr>
              <w:t>机</w:t>
            </w:r>
          </w:p>
          <w:p>
            <w:pPr>
              <w:spacing w:line="440" w:lineRule="auto"/>
              <w:jc w:val="center"/>
              <w:rPr>
                <w:rFonts w:ascii="宋体" w:hAnsi="宋体" w:eastAsia="宋体" w:cs="宋体"/>
                <w:b/>
                <w:sz w:val="24"/>
                <w:szCs w:val="24"/>
              </w:rPr>
            </w:pPr>
            <w:r>
              <w:rPr>
                <w:rFonts w:ascii="宋体" w:hAnsi="宋体" w:eastAsia="宋体" w:cs="宋体"/>
                <w:b/>
                <w:sz w:val="24"/>
                <w:szCs w:val="24"/>
              </w:rPr>
              <w:t>电</w:t>
            </w:r>
          </w:p>
          <w:p>
            <w:pPr>
              <w:spacing w:line="440" w:lineRule="auto"/>
              <w:jc w:val="center"/>
              <w:rPr>
                <w:rFonts w:ascii="宋体" w:hAnsi="宋体" w:eastAsia="宋体" w:cs="宋体"/>
                <w:b/>
                <w:sz w:val="24"/>
                <w:szCs w:val="24"/>
              </w:rPr>
            </w:pPr>
            <w:r>
              <w:rPr>
                <w:rFonts w:ascii="宋体" w:hAnsi="宋体" w:eastAsia="宋体" w:cs="宋体"/>
                <w:b/>
                <w:sz w:val="24"/>
                <w:szCs w:val="24"/>
              </w:rPr>
              <w:t>设</w:t>
            </w:r>
          </w:p>
          <w:p>
            <w:pPr>
              <w:spacing w:line="440" w:lineRule="auto"/>
              <w:jc w:val="center"/>
              <w:rPr>
                <w:rFonts w:ascii="宋体" w:hAnsi="宋体" w:eastAsia="宋体" w:cs="宋体"/>
                <w:b/>
                <w:sz w:val="24"/>
                <w:szCs w:val="24"/>
              </w:rPr>
            </w:pPr>
            <w:r>
              <w:rPr>
                <w:rFonts w:ascii="宋体" w:hAnsi="宋体" w:eastAsia="宋体" w:cs="宋体"/>
                <w:b/>
                <w:sz w:val="24"/>
                <w:szCs w:val="24"/>
              </w:rPr>
              <w:t>备</w:t>
            </w:r>
          </w:p>
          <w:p>
            <w:pPr>
              <w:spacing w:line="440" w:lineRule="auto"/>
              <w:jc w:val="center"/>
              <w:rPr>
                <w:rFonts w:ascii="宋体" w:hAnsi="宋体" w:eastAsia="宋体" w:cs="宋体"/>
                <w:b/>
                <w:sz w:val="24"/>
                <w:szCs w:val="24"/>
              </w:rPr>
            </w:pPr>
            <w:r>
              <w:rPr>
                <w:rFonts w:ascii="宋体" w:hAnsi="宋体" w:eastAsia="宋体" w:cs="宋体"/>
                <w:b/>
                <w:sz w:val="24"/>
                <w:szCs w:val="24"/>
              </w:rPr>
              <w:t>安</w:t>
            </w:r>
          </w:p>
          <w:p>
            <w:pPr>
              <w:spacing w:line="440" w:lineRule="auto"/>
              <w:jc w:val="center"/>
              <w:rPr>
                <w:rFonts w:ascii="宋体" w:hAnsi="宋体" w:eastAsia="宋体" w:cs="宋体"/>
                <w:b/>
                <w:sz w:val="24"/>
                <w:szCs w:val="24"/>
              </w:rPr>
            </w:pPr>
            <w:r>
              <w:rPr>
                <w:rFonts w:ascii="宋体" w:hAnsi="宋体" w:eastAsia="宋体" w:cs="宋体"/>
                <w:b/>
                <w:sz w:val="24"/>
                <w:szCs w:val="24"/>
              </w:rPr>
              <w:t>全</w:t>
            </w:r>
          </w:p>
          <w:p>
            <w:pPr>
              <w:spacing w:line="440" w:lineRule="auto"/>
              <w:jc w:val="center"/>
              <w:rPr>
                <w:rFonts w:ascii="宋体" w:hAnsi="宋体" w:eastAsia="宋体" w:cs="宋体"/>
                <w:b/>
                <w:sz w:val="24"/>
                <w:szCs w:val="24"/>
              </w:rPr>
            </w:pPr>
            <w:r>
              <w:rPr>
                <w:rFonts w:ascii="宋体" w:hAnsi="宋体" w:eastAsia="宋体" w:cs="宋体"/>
                <w:b/>
                <w:sz w:val="24"/>
                <w:szCs w:val="24"/>
              </w:rPr>
              <w:t>评</w:t>
            </w:r>
          </w:p>
          <w:p>
            <w:pPr>
              <w:spacing w:line="440" w:lineRule="auto"/>
              <w:jc w:val="center"/>
              <w:rPr>
                <w:rFonts w:ascii="宋体" w:hAnsi="宋体" w:eastAsia="宋体" w:cs="宋体"/>
                <w:sz w:val="24"/>
                <w:szCs w:val="24"/>
              </w:rPr>
            </w:pPr>
            <w:r>
              <w:rPr>
                <w:rFonts w:ascii="宋体" w:hAnsi="宋体" w:eastAsia="宋体" w:cs="宋体"/>
                <w:b/>
                <w:sz w:val="24"/>
                <w:szCs w:val="24"/>
              </w:rPr>
              <w:t>价</w:t>
            </w:r>
          </w:p>
        </w:tc>
        <w:tc>
          <w:tcPr>
            <w:tcW w:w="7539"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水轮机设备外观基本完好，机组振动、摆度及噪音符合标准，稳定性良好；各部轴承温度、油质等符合运行规范规定的标准，无漏油、甩油现象；转轮、导叶无明显锈蚀、磨损、漏水现象主轴密封良好、顶盖密封良好，不存在漏水现象，运行情况正常；飞轮防护罩牢固、稳定，蜗壳基本无掉漆；</w:t>
            </w:r>
            <w:bookmarkStart w:id="0" w:name="_Toc16021"/>
            <w:bookmarkStart w:id="1" w:name="_Toc5322"/>
            <w:bookmarkStart w:id="2" w:name="_Toc8488"/>
            <w:r>
              <w:rPr>
                <w:rFonts w:hint="eastAsia" w:ascii="宋体" w:hAnsi="宋体" w:eastAsia="宋体" w:cs="宋体"/>
                <w:sz w:val="24"/>
                <w:szCs w:val="24"/>
              </w:rPr>
              <w:t>焊接件、铸件及锻件经检查，未发现表面或内部有裂纹超标的缺陷；转动部分及操作机构无变形，运转灵活。</w:t>
            </w:r>
            <w:bookmarkEnd w:id="0"/>
            <w:bookmarkEnd w:id="1"/>
            <w:bookmarkEnd w:id="2"/>
            <w:r>
              <w:rPr>
                <w:rFonts w:hint="eastAsia" w:ascii="宋体" w:hAnsi="宋体" w:eastAsia="宋体" w:cs="宋体"/>
                <w:sz w:val="24"/>
                <w:szCs w:val="24"/>
              </w:rPr>
              <w:t>目前水轮机各部件均能满足机组安全运行要求，按照《小型水电站安全检测与评价规范》(GB/T50876-2013),水轮机的安全等级评定为B级。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主阀关闭严密，转动灵活可靠，启闭阀门时间符合要求，管路无渗漏现象，保护涂料完整，无锈蚀现象。主阀的安全等级评定为B级。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调速器参数符合设计要求，调节性能良好，工作状况能满足运行规程要求，低压报警和停机动作正常，设备基本无锈蚀。调速器的安全等级评定为B级。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排水系统管路无渗漏、损坏现象，没有设置油、气系统。油、气、水系统的安全等级评定为B级。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hint="eastAsia" w:ascii="宋体" w:hAnsi="宋体" w:eastAsia="宋体" w:cs="宋体"/>
                <w:sz w:val="24"/>
                <w:szCs w:val="24"/>
              </w:rPr>
              <w:t>发电机机组振动符合规程要求，定子、转子温升符合规程要求，主轴无裂缝和变形，轴承无漏油现象，发电机各部件能满足机组的安全运行要求。发电机的安全等级评定为B级。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en-US" w:eastAsia="zh-CN"/>
              </w:rPr>
              <w:t>.</w:t>
            </w:r>
            <w:r>
              <w:rPr>
                <w:rFonts w:hint="eastAsia" w:ascii="宋体" w:hAnsi="宋体" w:eastAsia="宋体" w:cs="宋体"/>
                <w:sz w:val="24"/>
                <w:szCs w:val="24"/>
              </w:rPr>
              <w:t>励磁调节平顺，灭磁开关可靠，冷却系统正常。励磁设备的安全等级评定为B级。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主变压器无渗油、过热现象，瓷瓶无损伤，油枕油色、油位及吸湿剂色泽正常，接地线接触良好、牢固可靠，符合规范要求，变压器安全等级评定为B级。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w:t>
            </w:r>
            <w:r>
              <w:rPr>
                <w:rFonts w:hint="eastAsia" w:ascii="宋体" w:hAnsi="宋体" w:eastAsia="宋体" w:cs="宋体"/>
                <w:sz w:val="24"/>
                <w:szCs w:val="24"/>
              </w:rPr>
              <w:t>电站升压站内35千伏侧的跌落式开关及隔离开关外观完整，电气试验符合规程规定，但设备有轻微的锈蚀。安全等级评定为B级。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w:t>
            </w:r>
            <w:r>
              <w:rPr>
                <w:rFonts w:hint="eastAsia" w:ascii="宋体" w:hAnsi="宋体" w:eastAsia="宋体" w:cs="宋体"/>
                <w:sz w:val="24"/>
                <w:szCs w:val="24"/>
              </w:rPr>
              <w:t>铝排及构架技术规格能满足安全运行要求，安装敷设符合规程规定要求，出入地面保护措施、弯曲半径、穿管工艺、排列位置及高差、防火封堵措施均符合规程要求。铝排及构架的安全等级评定为B级。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en-US" w:eastAsia="zh-CN"/>
              </w:rPr>
              <w:t>.</w:t>
            </w:r>
            <w:r>
              <w:rPr>
                <w:rFonts w:hint="eastAsia" w:ascii="宋体" w:hAnsi="宋体" w:eastAsia="宋体" w:cs="宋体"/>
                <w:sz w:val="24"/>
                <w:szCs w:val="24"/>
              </w:rPr>
              <w:t>防雷设施完整，安装、接地装置及接地电阻符合要求，已设置避雷针。缺少继电保护装置和防雷设施的检测记录，因此防雷、避雷和接地装置的安全等级评定为B级。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w:t>
            </w:r>
            <w:r>
              <w:rPr>
                <w:rFonts w:hint="eastAsia" w:ascii="宋体" w:hAnsi="宋体" w:eastAsia="宋体" w:cs="宋体"/>
                <w:sz w:val="24"/>
                <w:szCs w:val="24"/>
              </w:rPr>
              <w:t>电气二次设备信号装置、指示仪表动作可靠，指示正确，设备无过热现象，开停机操作流程、控制动作正常。安全等级评定为B级。</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w:t>
            </w:r>
            <w:r>
              <w:rPr>
                <w:rFonts w:hint="eastAsia" w:ascii="宋体" w:hAnsi="宋体" w:eastAsia="宋体" w:cs="宋体"/>
                <w:sz w:val="24"/>
                <w:szCs w:val="24"/>
              </w:rPr>
              <w:t>厂房、升压站消防设备较完善，应对消防设施定期检查。消防设备安全评价级别评为B级。</w:t>
            </w:r>
          </w:p>
          <w:p>
            <w:pPr>
              <w:spacing w:line="360" w:lineRule="auto"/>
              <w:ind w:firstLine="560"/>
              <w:jc w:val="both"/>
              <w:rPr>
                <w:rFonts w:hint="eastAsia" w:ascii="宋体" w:hAnsi="宋体" w:eastAsia="宋体" w:cs="宋体"/>
                <w:sz w:val="24"/>
                <w:szCs w:val="24"/>
              </w:rPr>
            </w:pPr>
            <w:r>
              <w:rPr>
                <w:rFonts w:hint="eastAsia" w:ascii="宋体" w:hAnsi="宋体" w:eastAsia="宋体" w:cs="宋体"/>
                <w:sz w:val="24"/>
                <w:szCs w:val="24"/>
              </w:rPr>
              <w:t>综上所述，该电站机电设备较完善，能满足电网并网安全运行要求，机电设备评价为B级。</w:t>
            </w:r>
          </w:p>
          <w:p>
            <w:pPr>
              <w:pStyle w:val="4"/>
              <w:jc w:val="both"/>
              <w:rPr>
                <w:rFonts w:hint="eastAsia" w:ascii="宋体" w:hAnsi="宋体" w:eastAsia="宋体" w:cs="宋体"/>
                <w:sz w:val="24"/>
                <w:szCs w:val="24"/>
              </w:rPr>
            </w:pPr>
          </w:p>
          <w:p>
            <w:pPr>
              <w:jc w:val="both"/>
              <w:rPr>
                <w:rFonts w:hint="eastAsia" w:ascii="宋体" w:hAnsi="宋体" w:eastAsia="宋体" w:cs="宋体"/>
                <w:sz w:val="24"/>
                <w:szCs w:val="24"/>
              </w:rPr>
            </w:pPr>
          </w:p>
          <w:p>
            <w:pPr>
              <w:pStyle w:val="2"/>
              <w:jc w:val="both"/>
              <w:rPr>
                <w:rFonts w:hint="eastAsia" w:ascii="宋体" w:hAnsi="宋体" w:eastAsia="宋体" w:cs="宋体"/>
                <w:sz w:val="24"/>
                <w:szCs w:val="24"/>
              </w:rPr>
            </w:pPr>
          </w:p>
        </w:tc>
      </w:tr>
      <w:tr>
        <w:tblPrEx>
          <w:shd w:val="clear" w:color="auto" w:fill="auto"/>
          <w:tblCellMar>
            <w:top w:w="0" w:type="dxa"/>
            <w:left w:w="10" w:type="dxa"/>
            <w:bottom w:w="0" w:type="dxa"/>
            <w:right w:w="10" w:type="dxa"/>
          </w:tblCellMar>
        </w:tblPrEx>
        <w:trPr>
          <w:jc w:val="center"/>
        </w:trPr>
        <w:tc>
          <w:tcPr>
            <w:tcW w:w="9041"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400" w:lineRule="auto"/>
              <w:jc w:val="both"/>
              <w:rPr>
                <w:rFonts w:ascii="宋体" w:hAnsi="宋体" w:eastAsia="宋体" w:cs="宋体"/>
                <w:b/>
                <w:sz w:val="24"/>
                <w:szCs w:val="24"/>
              </w:rPr>
            </w:pPr>
            <w:r>
              <w:rPr>
                <w:rFonts w:ascii="宋体" w:hAnsi="宋体" w:eastAsia="宋体" w:cs="宋体"/>
                <w:b/>
                <w:sz w:val="24"/>
                <w:szCs w:val="24"/>
              </w:rPr>
              <w:t>工程存在的主要问题：</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电站安全生产管理存在规章制度不够完善和事故的应急救援预案还不够全面；</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缺乏对运行管理资料的收集、统计。</w:t>
            </w:r>
          </w:p>
          <w:p>
            <w:pPr>
              <w:keepNext/>
              <w:keepLines/>
              <w:spacing w:before="120" w:after="120"/>
              <w:ind w:firstLine="480" w:firstLineChars="200"/>
              <w:jc w:val="both"/>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lang w:bidi="zh-TW"/>
              </w:rPr>
              <w:t>引水渠道沿途有杂草，局部渠底有泥沙淤积</w:t>
            </w:r>
            <w:r>
              <w:rPr>
                <w:rFonts w:ascii="宋体" w:hAnsi="宋体" w:eastAsia="宋体" w:cs="宋体"/>
                <w:sz w:val="24"/>
                <w:szCs w:val="24"/>
              </w:rPr>
              <w:t>。</w:t>
            </w:r>
          </w:p>
          <w:p>
            <w:pPr>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ascii="宋体" w:hAnsi="宋体" w:eastAsia="宋体" w:cs="宋体"/>
                <w:sz w:val="24"/>
                <w:szCs w:val="24"/>
              </w:rPr>
              <w:t>拦污栅局部表面防锈涂料存在龟裂、脱落现象。</w:t>
            </w:r>
          </w:p>
          <w:p>
            <w:pPr>
              <w:keepNext/>
              <w:keepLines/>
              <w:spacing w:before="120" w:after="120"/>
              <w:ind w:firstLine="480" w:firstLineChars="200"/>
              <w:jc w:val="both"/>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w:t>
            </w:r>
            <w:r>
              <w:rPr>
                <w:rFonts w:ascii="宋体" w:hAnsi="宋体" w:eastAsia="宋体" w:cs="宋体"/>
                <w:sz w:val="24"/>
                <w:szCs w:val="24"/>
              </w:rPr>
              <w:t>厂房及升压站消防设备不够完善。</w:t>
            </w:r>
          </w:p>
        </w:tc>
      </w:tr>
      <w:tr>
        <w:tblPrEx>
          <w:shd w:val="clear" w:color="auto" w:fill="auto"/>
          <w:tblCellMar>
            <w:top w:w="0" w:type="dxa"/>
            <w:left w:w="10" w:type="dxa"/>
            <w:bottom w:w="0" w:type="dxa"/>
            <w:right w:w="10" w:type="dxa"/>
          </w:tblCellMar>
        </w:tblPrEx>
        <w:trPr>
          <w:jc w:val="center"/>
        </w:trPr>
        <w:tc>
          <w:tcPr>
            <w:tcW w:w="9041"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line="400" w:lineRule="auto"/>
              <w:rPr>
                <w:rFonts w:ascii="宋体" w:hAnsi="宋体" w:eastAsia="宋体" w:cs="宋体"/>
                <w:sz w:val="24"/>
                <w:szCs w:val="24"/>
              </w:rPr>
            </w:pPr>
            <w:r>
              <w:rPr>
                <w:rFonts w:ascii="宋体" w:hAnsi="宋体" w:eastAsia="宋体" w:cs="宋体"/>
                <w:b/>
                <w:sz w:val="24"/>
                <w:szCs w:val="24"/>
              </w:rPr>
              <w:t>水电站工程安全类别评定:B类。</w:t>
            </w:r>
          </w:p>
        </w:tc>
      </w:tr>
      <w:tr>
        <w:tblPrEx>
          <w:shd w:val="clear" w:color="auto" w:fill="auto"/>
          <w:tblCellMar>
            <w:top w:w="0" w:type="dxa"/>
            <w:left w:w="10" w:type="dxa"/>
            <w:bottom w:w="0" w:type="dxa"/>
            <w:right w:w="10" w:type="dxa"/>
          </w:tblCellMar>
        </w:tblPrEx>
        <w:trPr>
          <w:jc w:val="center"/>
        </w:trPr>
        <w:tc>
          <w:tcPr>
            <w:tcW w:w="9041"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rPr>
                <w:rFonts w:ascii="宋体" w:hAnsi="宋体" w:eastAsia="宋体" w:cs="宋体"/>
                <w:b/>
                <w:sz w:val="24"/>
                <w:szCs w:val="24"/>
              </w:rPr>
            </w:pPr>
            <w:r>
              <w:rPr>
                <w:rFonts w:ascii="宋体" w:hAnsi="宋体" w:eastAsia="宋体" w:cs="宋体"/>
                <w:b/>
                <w:sz w:val="24"/>
                <w:szCs w:val="24"/>
              </w:rPr>
              <w:t>运行管理或除险加固的意见和建议：</w:t>
            </w:r>
          </w:p>
          <w:p>
            <w:pPr>
              <w:spacing w:line="360" w:lineRule="auto"/>
              <w:ind w:firstLine="57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拦污栅工作防护措施要到位，对损坏的防护栏杆进行修补，保证作业人员的安全，对拦截的垃圾要及时处理；</w:t>
            </w:r>
          </w:p>
          <w:p>
            <w:pPr>
              <w:spacing w:line="360" w:lineRule="auto"/>
              <w:ind w:firstLine="57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增设厂房与升压站的消防设备、绝缘器具等安全辅助设施，建议在厂房设置3kg手提式磷酸铵盐干粉灭火器2具，升压站进门侧墙设置4kg手提式磷酸铵盐干粉灭火器1具。主要疏散通道、安全出入处设置事故照明及疏通指示标志，并加强安全培训，对消防设施定期检查；</w:t>
            </w:r>
          </w:p>
          <w:p>
            <w:pPr>
              <w:spacing w:line="360" w:lineRule="auto"/>
              <w:ind w:firstLine="57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切实加强电站日常管理维护工作，应定时对各建筑物进行各方面的观测和记录，对观测得到的数据要进行比较分析，加强主要建筑物定期安全检查，发现问题应及时治理，排除隐患，使工程能长期安全运行。</w:t>
            </w:r>
          </w:p>
        </w:tc>
      </w:tr>
      <w:tr>
        <w:tblPrEx>
          <w:tblCellMar>
            <w:top w:w="0" w:type="dxa"/>
            <w:left w:w="10" w:type="dxa"/>
            <w:bottom w:w="0" w:type="dxa"/>
            <w:right w:w="10" w:type="dxa"/>
          </w:tblCellMar>
        </w:tblPrEx>
        <w:trPr>
          <w:trHeight w:val="90" w:hRule="atLeast"/>
          <w:jc w:val="center"/>
        </w:trPr>
        <w:tc>
          <w:tcPr>
            <w:tcW w:w="9041"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r>
              <w:t>安全鉴定结论：</w:t>
            </w:r>
          </w:p>
          <w:p>
            <w:pPr>
              <w:spacing w:line="360" w:lineRule="auto"/>
              <w:ind w:firstLine="420" w:firstLineChars="200"/>
            </w:pPr>
            <w:r>
              <w:rPr>
                <w:rFonts w:hint="eastAsia"/>
              </w:rPr>
              <w:t>1</w:t>
            </w:r>
            <w:r>
              <w:rPr>
                <w:rFonts w:hint="eastAsia"/>
                <w:lang w:val="en-US" w:eastAsia="zh-CN"/>
              </w:rPr>
              <w:t>.</w:t>
            </w:r>
            <w:r>
              <w:t>贺州市八步区石古冲二期水电站</w:t>
            </w:r>
            <w:r>
              <w:rPr>
                <w:rFonts w:hint="eastAsia"/>
              </w:rPr>
              <w:t>自建成以来各建筑物运行基本正常，各组成建筑物、主要水力结构和电气设备均运行正常。工程局部存在一些小的问题，但未发现有大的安全隐患，各建筑物运行正常。经检测各处混凝土强度满足要求，工程整体质量满足要求，工程质量评价为合格。</w:t>
            </w:r>
          </w:p>
          <w:p>
            <w:pPr>
              <w:spacing w:line="360" w:lineRule="auto"/>
              <w:ind w:firstLine="420" w:firstLineChars="200"/>
            </w:pPr>
            <w:r>
              <w:rPr>
                <w:rFonts w:hint="eastAsia"/>
              </w:rPr>
              <w:t>2</w:t>
            </w:r>
            <w:r>
              <w:rPr>
                <w:rFonts w:hint="eastAsia"/>
                <w:lang w:val="en-US" w:eastAsia="zh-CN"/>
              </w:rPr>
              <w:t>.</w:t>
            </w:r>
            <w:r>
              <w:rPr>
                <w:rFonts w:hint="eastAsia"/>
              </w:rPr>
              <w:t>该工程在大坝的安全监测方面，巡视检查制度基本上都能得到落实和执行，但应加强对监测情况的记录和资料整理，同时要完善拦河坝的变形监测设备。工程运行管理等级评定为B级。</w:t>
            </w:r>
          </w:p>
          <w:p>
            <w:pPr>
              <w:spacing w:line="360" w:lineRule="auto"/>
              <w:ind w:firstLine="420" w:firstLineChars="200"/>
            </w:pPr>
            <w:r>
              <w:rPr>
                <w:rFonts w:hint="eastAsia"/>
              </w:rPr>
              <w:t>3</w:t>
            </w:r>
            <w:r>
              <w:rPr>
                <w:rFonts w:hint="eastAsia"/>
                <w:lang w:val="en-US" w:eastAsia="zh-CN"/>
              </w:rPr>
              <w:t>.</w:t>
            </w:r>
            <w:r>
              <w:rPr>
                <w:rFonts w:hint="eastAsia"/>
              </w:rPr>
              <w:t>该电站引水系统和厂房能满足防洪要求，工程的防洪安全性评价为B级。</w:t>
            </w:r>
          </w:p>
          <w:p>
            <w:pPr>
              <w:spacing w:line="360" w:lineRule="auto"/>
              <w:ind w:firstLine="420" w:firstLineChars="200"/>
              <w:jc w:val="both"/>
            </w:pPr>
            <w:r>
              <w:rPr>
                <w:rFonts w:hint="eastAsia"/>
              </w:rPr>
              <w:t>4</w:t>
            </w:r>
            <w:r>
              <w:rPr>
                <w:rFonts w:hint="eastAsia"/>
                <w:lang w:val="en-US" w:eastAsia="zh-CN"/>
              </w:rPr>
              <w:t>.</w:t>
            </w:r>
            <w:r>
              <w:rPr>
                <w:rFonts w:hint="eastAsia"/>
              </w:rPr>
              <w:t>通过复核计算，引水陂头、引水渠道、引水隧洞、压力前池、厂房等结构的稳定分析及地基应力等稳定性均能满足规范的要求，工程结构安全性评定为B级。</w:t>
            </w:r>
          </w:p>
          <w:p>
            <w:pPr>
              <w:spacing w:line="360" w:lineRule="auto"/>
              <w:ind w:firstLine="420" w:firstLineChars="200"/>
              <w:jc w:val="both"/>
            </w:pPr>
            <w:r>
              <w:rPr>
                <w:rFonts w:hint="eastAsia"/>
              </w:rPr>
              <w:t>5</w:t>
            </w:r>
            <w:r>
              <w:rPr>
                <w:rFonts w:hint="eastAsia"/>
                <w:lang w:val="en-US" w:eastAsia="zh-CN"/>
              </w:rPr>
              <w:t>.</w:t>
            </w:r>
            <w:r>
              <w:rPr>
                <w:rFonts w:hint="eastAsia"/>
              </w:rPr>
              <w:t>本工程渗流形态基本安全，渗流综合安全评价等级评定为B级。</w:t>
            </w:r>
          </w:p>
          <w:p>
            <w:pPr>
              <w:spacing w:line="360" w:lineRule="auto"/>
              <w:ind w:firstLine="420" w:firstLineChars="200"/>
              <w:jc w:val="both"/>
            </w:pPr>
            <w:r>
              <w:rPr>
                <w:rFonts w:hint="eastAsia"/>
              </w:rPr>
              <w:t>6</w:t>
            </w:r>
            <w:r>
              <w:rPr>
                <w:rFonts w:hint="eastAsia"/>
                <w:lang w:val="en-US" w:eastAsia="zh-CN"/>
              </w:rPr>
              <w:t>.</w:t>
            </w:r>
            <w:r>
              <w:rPr>
                <w:rFonts w:hint="eastAsia"/>
              </w:rPr>
              <w:t>根据现场检查分析与相关计算，该电站金属结构安全，安全等级评定为B级。</w:t>
            </w:r>
          </w:p>
          <w:p>
            <w:pPr>
              <w:spacing w:line="360" w:lineRule="auto"/>
              <w:ind w:firstLine="420" w:firstLineChars="200"/>
              <w:jc w:val="both"/>
            </w:pPr>
            <w:r>
              <w:rPr>
                <w:rFonts w:hint="eastAsia"/>
              </w:rPr>
              <w:t>7</w:t>
            </w:r>
            <w:r>
              <w:rPr>
                <w:rFonts w:hint="eastAsia"/>
                <w:lang w:val="en-US" w:eastAsia="zh-CN"/>
              </w:rPr>
              <w:t>.</w:t>
            </w:r>
            <w:r>
              <w:rPr>
                <w:rFonts w:hint="eastAsia"/>
              </w:rPr>
              <w:t>该工程机电设备基本完善，基本能满足电网并网安全运行要求，机电设备评价评定为B级。</w:t>
            </w:r>
          </w:p>
          <w:p>
            <w:pPr>
              <w:spacing w:line="360" w:lineRule="auto"/>
              <w:ind w:firstLine="420" w:firstLineChars="200"/>
              <w:jc w:val="both"/>
              <w:rPr>
                <w:rFonts w:hint="eastAsia"/>
              </w:rPr>
            </w:pPr>
            <w:r>
              <w:rPr>
                <w:rFonts w:hint="eastAsia"/>
              </w:rPr>
              <w:t>综上所述，根据《水库大坝安全鉴定办法》、《水库大坝安全评价导则》的有关规定，</w:t>
            </w:r>
            <w:r>
              <w:t>贺州市八步区石古冲二期水电站</w:t>
            </w:r>
            <w:r>
              <w:rPr>
                <w:rFonts w:hint="eastAsia"/>
              </w:rPr>
              <w:t>安全等级类别评为</w:t>
            </w:r>
            <w:r>
              <w:rPr>
                <w:rFonts w:hint="eastAsia"/>
                <w:lang w:val="en-US" w:eastAsia="zh-CN"/>
              </w:rPr>
              <w:t>B</w:t>
            </w:r>
            <w:r>
              <w:rPr>
                <w:rFonts w:hint="eastAsia"/>
              </w:rPr>
              <w:t>类。</w:t>
            </w:r>
          </w:p>
          <w:p>
            <w:pPr>
              <w:spacing w:line="360" w:lineRule="auto"/>
              <w:ind w:firstLine="420" w:firstLineChars="200"/>
              <w:jc w:val="both"/>
            </w:pPr>
            <w:r>
              <w:t>贺州市八步区石古冲二期水电站</w:t>
            </w:r>
            <w:r>
              <w:rPr>
                <w:rFonts w:hint="eastAsia"/>
              </w:rPr>
              <w:t>引水陂头结构稳定，施工质量符合设计要求；引水陂头、引水渠道、引水隧洞、压力前池、压力钢管、镇墩和发电厂房结构满足安全要求，枢纽工程已全部建设完成，工程质量合格，试运行期工程运行安全，达到竣工验收要求。</w:t>
            </w:r>
          </w:p>
          <w:p>
            <w:pPr>
              <w:spacing w:line="360" w:lineRule="auto"/>
              <w:ind w:firstLine="420" w:firstLineChars="200"/>
              <w:jc w:val="both"/>
            </w:pPr>
            <w:r>
              <w:rPr>
                <w:rFonts w:hint="eastAsia"/>
              </w:rPr>
              <w:t>附表：</w:t>
            </w:r>
            <w:r>
              <w:t>贺州市八步区石古冲二期水电站</w:t>
            </w:r>
            <w:r>
              <w:rPr>
                <w:rFonts w:hint="eastAsia"/>
              </w:rPr>
              <w:t>工程竣工验收技术安全鉴定专家组专家签字表</w:t>
            </w:r>
          </w:p>
          <w:p>
            <w:pPr>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sz w:val="32"/>
                <w:szCs w:val="32"/>
              </w:rPr>
            </w:pPr>
          </w:p>
          <w:p>
            <w:pPr>
              <w:pStyle w:val="2"/>
              <w:pageBreakBefore w:val="0"/>
              <w:widowControl w:val="0"/>
              <w:kinsoku/>
              <w:wordWrap/>
              <w:overflowPunct/>
              <w:topLinePunct w:val="0"/>
              <w:autoSpaceDE/>
              <w:autoSpaceDN/>
              <w:bidi w:val="0"/>
              <w:adjustRightInd/>
              <w:snapToGrid/>
              <w:spacing w:beforeAutospacing="0" w:after="0" w:afterAutospacing="0" w:line="240" w:lineRule="auto"/>
              <w:textAlignment w:val="auto"/>
              <w:rPr>
                <w:rFonts w:hint="eastAsia"/>
                <w:sz w:val="32"/>
                <w:szCs w:val="32"/>
              </w:rPr>
            </w:pPr>
          </w:p>
          <w:p>
            <w:pPr>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sz w:val="32"/>
                <w:szCs w:val="32"/>
              </w:rPr>
            </w:pPr>
          </w:p>
          <w:p>
            <w:pPr>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sz w:val="32"/>
                <w:szCs w:val="32"/>
              </w:rPr>
            </w:pPr>
          </w:p>
          <w:p>
            <w:pPr>
              <w:pStyle w:val="3"/>
              <w:pageBreakBefore w:val="0"/>
              <w:widowControl w:val="0"/>
              <w:kinsoku/>
              <w:wordWrap/>
              <w:overflowPunct/>
              <w:topLinePunct w:val="0"/>
              <w:autoSpaceDE/>
              <w:autoSpaceDN/>
              <w:bidi w:val="0"/>
              <w:adjustRightInd/>
              <w:snapToGrid/>
              <w:spacing w:beforeAutospacing="0" w:after="0" w:afterLines="0" w:afterAutospacing="0" w:line="240" w:lineRule="auto"/>
              <w:textAlignment w:val="auto"/>
              <w:rPr>
                <w:rFonts w:hint="eastAsia"/>
                <w:sz w:val="32"/>
                <w:szCs w:val="32"/>
              </w:rPr>
            </w:pPr>
          </w:p>
          <w:p>
            <w:pPr>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sz w:val="32"/>
                <w:szCs w:val="32"/>
              </w:rPr>
            </w:pPr>
          </w:p>
          <w:p>
            <w:pPr>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sz w:val="32"/>
                <w:szCs w:val="32"/>
              </w:rPr>
            </w:pPr>
          </w:p>
          <w:p>
            <w:pPr>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240" w:lineRule="auto"/>
              <w:textAlignment w:val="auto"/>
              <w:rPr>
                <w:rFonts w:hint="eastAsia"/>
                <w:sz w:val="32"/>
                <w:szCs w:val="32"/>
                <w:lang w:eastAsia="zh-CN"/>
              </w:rPr>
            </w:pPr>
          </w:p>
          <w:p>
            <w:pPr>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sz w:val="32"/>
                <w:szCs w:val="32"/>
                <w:lang w:eastAsia="zh-CN"/>
              </w:rPr>
            </w:pPr>
          </w:p>
          <w:p>
            <w:pPr>
              <w:pStyle w:val="2"/>
              <w:rPr>
                <w:rFonts w:hint="eastAsia"/>
                <w:lang w:eastAsia="zh-CN"/>
              </w:rPr>
            </w:pPr>
            <w:bookmarkStart w:id="3" w:name="_GoBack"/>
            <w:bookmarkEnd w:id="3"/>
          </w:p>
        </w:tc>
      </w:tr>
    </w:tbl>
    <w:p>
      <w:pPr>
        <w:pStyle w:val="23"/>
        <w:keepNext w:val="0"/>
        <w:keepLines w:val="0"/>
        <w:pageBreakBefore w:val="0"/>
        <w:widowControl w:val="0"/>
        <w:kinsoku/>
        <w:wordWrap/>
        <w:overflowPunct/>
        <w:topLinePunct w:val="0"/>
        <w:autoSpaceDE w:val="0"/>
        <w:autoSpaceDN w:val="0"/>
        <w:bidi w:val="0"/>
        <w:adjustRightInd w:val="0"/>
        <w:snapToGrid/>
        <w:spacing w:line="20" w:lineRule="exact"/>
        <w:textAlignment w:val="baseline"/>
        <w:rPr>
          <w:rFonts w:hint="default"/>
          <w:lang w:val="en-US" w:eastAsia="zh-CN"/>
        </w:rPr>
      </w:pPr>
    </w:p>
    <w:sectPr>
      <w:footerReference r:id="rId4" w:type="default"/>
      <w:pgSz w:w="11906" w:h="16838"/>
      <w:pgMar w:top="2098" w:right="1587" w:bottom="1417" w:left="1587" w:header="851" w:footer="992" w:gutter="0"/>
      <w:pgBorders>
        <w:top w:val="none" w:sz="0" w:space="0"/>
        <w:left w:val="none" w:sz="0" w:space="0"/>
        <w:bottom w:val="none" w:sz="0" w:space="0"/>
        <w:right w:val="none" w:sz="0" w:space="0"/>
      </w:pgBorders>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formatting="1" w:enforcement="0"/>
  <w:defaultTabStop w:val="420"/>
  <w:drawingGridVerticalSpacing w:val="171"/>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239"/>
    <w:rsid w:val="00021392"/>
    <w:rsid w:val="00110239"/>
    <w:rsid w:val="001E2C59"/>
    <w:rsid w:val="00270332"/>
    <w:rsid w:val="00285D73"/>
    <w:rsid w:val="00342161"/>
    <w:rsid w:val="0034464E"/>
    <w:rsid w:val="003545BE"/>
    <w:rsid w:val="003A4739"/>
    <w:rsid w:val="003B3C48"/>
    <w:rsid w:val="00493559"/>
    <w:rsid w:val="00565FDF"/>
    <w:rsid w:val="006044F7"/>
    <w:rsid w:val="00661033"/>
    <w:rsid w:val="00672F28"/>
    <w:rsid w:val="0069637E"/>
    <w:rsid w:val="00697CFE"/>
    <w:rsid w:val="006A0B11"/>
    <w:rsid w:val="006C2E48"/>
    <w:rsid w:val="007C61C0"/>
    <w:rsid w:val="008638B5"/>
    <w:rsid w:val="00897BA5"/>
    <w:rsid w:val="008C4930"/>
    <w:rsid w:val="009A1062"/>
    <w:rsid w:val="009A4912"/>
    <w:rsid w:val="00A25A65"/>
    <w:rsid w:val="00B91961"/>
    <w:rsid w:val="00B9281F"/>
    <w:rsid w:val="00BD7959"/>
    <w:rsid w:val="00BE3790"/>
    <w:rsid w:val="00C55C59"/>
    <w:rsid w:val="00D51B66"/>
    <w:rsid w:val="00DC154B"/>
    <w:rsid w:val="00E23A40"/>
    <w:rsid w:val="00E33F88"/>
    <w:rsid w:val="00EC1C85"/>
    <w:rsid w:val="00F351BF"/>
    <w:rsid w:val="00FF3551"/>
    <w:rsid w:val="01056D42"/>
    <w:rsid w:val="0116186C"/>
    <w:rsid w:val="01392B8F"/>
    <w:rsid w:val="01AB1CCF"/>
    <w:rsid w:val="01BE5018"/>
    <w:rsid w:val="02785791"/>
    <w:rsid w:val="029159F9"/>
    <w:rsid w:val="02CA0CB2"/>
    <w:rsid w:val="02F15DCE"/>
    <w:rsid w:val="030801CB"/>
    <w:rsid w:val="03665008"/>
    <w:rsid w:val="036A2A4B"/>
    <w:rsid w:val="03967788"/>
    <w:rsid w:val="03F94983"/>
    <w:rsid w:val="045A2517"/>
    <w:rsid w:val="05174A75"/>
    <w:rsid w:val="059D6F52"/>
    <w:rsid w:val="05F55AD6"/>
    <w:rsid w:val="06284344"/>
    <w:rsid w:val="06740FE2"/>
    <w:rsid w:val="06964691"/>
    <w:rsid w:val="074B6D85"/>
    <w:rsid w:val="0838625B"/>
    <w:rsid w:val="08516AE0"/>
    <w:rsid w:val="092E2F9F"/>
    <w:rsid w:val="0948157A"/>
    <w:rsid w:val="095D3FAC"/>
    <w:rsid w:val="09A66158"/>
    <w:rsid w:val="09FD2250"/>
    <w:rsid w:val="0A18538A"/>
    <w:rsid w:val="0A353E7C"/>
    <w:rsid w:val="0A9719C2"/>
    <w:rsid w:val="0BB81C16"/>
    <w:rsid w:val="0C730889"/>
    <w:rsid w:val="0C7F60A5"/>
    <w:rsid w:val="0C8B733B"/>
    <w:rsid w:val="0CB04061"/>
    <w:rsid w:val="0D85393C"/>
    <w:rsid w:val="0DF224DC"/>
    <w:rsid w:val="0E2B0A79"/>
    <w:rsid w:val="0E52294A"/>
    <w:rsid w:val="0E6D712A"/>
    <w:rsid w:val="0E752B28"/>
    <w:rsid w:val="0EA91F43"/>
    <w:rsid w:val="0EAE5F59"/>
    <w:rsid w:val="0F8F26BA"/>
    <w:rsid w:val="0FB35D1B"/>
    <w:rsid w:val="101E172D"/>
    <w:rsid w:val="104B4837"/>
    <w:rsid w:val="107A79EF"/>
    <w:rsid w:val="109E3039"/>
    <w:rsid w:val="10B22E30"/>
    <w:rsid w:val="10E614DB"/>
    <w:rsid w:val="112D64BC"/>
    <w:rsid w:val="114B0DA3"/>
    <w:rsid w:val="11BA7C3F"/>
    <w:rsid w:val="11EB297C"/>
    <w:rsid w:val="11EF3D4D"/>
    <w:rsid w:val="129D0159"/>
    <w:rsid w:val="132E6BF4"/>
    <w:rsid w:val="133332DD"/>
    <w:rsid w:val="134C7067"/>
    <w:rsid w:val="13B95CDE"/>
    <w:rsid w:val="13EB047B"/>
    <w:rsid w:val="14AA5208"/>
    <w:rsid w:val="150E74AB"/>
    <w:rsid w:val="151E7713"/>
    <w:rsid w:val="153F2CEB"/>
    <w:rsid w:val="15494971"/>
    <w:rsid w:val="15817FE6"/>
    <w:rsid w:val="15847395"/>
    <w:rsid w:val="15AE6623"/>
    <w:rsid w:val="15B12FCF"/>
    <w:rsid w:val="1673768E"/>
    <w:rsid w:val="16B01214"/>
    <w:rsid w:val="16CA267D"/>
    <w:rsid w:val="176F6D79"/>
    <w:rsid w:val="17E62107"/>
    <w:rsid w:val="181012E5"/>
    <w:rsid w:val="18104023"/>
    <w:rsid w:val="181B016C"/>
    <w:rsid w:val="18690177"/>
    <w:rsid w:val="1884093B"/>
    <w:rsid w:val="18B600D5"/>
    <w:rsid w:val="192A2680"/>
    <w:rsid w:val="1943251E"/>
    <w:rsid w:val="19EB6D91"/>
    <w:rsid w:val="19ED3D9D"/>
    <w:rsid w:val="1B510793"/>
    <w:rsid w:val="1B785478"/>
    <w:rsid w:val="1C8675B6"/>
    <w:rsid w:val="1CFC1715"/>
    <w:rsid w:val="1D8E5F6C"/>
    <w:rsid w:val="1E1A400C"/>
    <w:rsid w:val="1E256B95"/>
    <w:rsid w:val="1E835EB7"/>
    <w:rsid w:val="1E9242B8"/>
    <w:rsid w:val="1EBE29DA"/>
    <w:rsid w:val="1EF05968"/>
    <w:rsid w:val="1EF21F9C"/>
    <w:rsid w:val="1F282B4D"/>
    <w:rsid w:val="1F3627B7"/>
    <w:rsid w:val="1FB5730E"/>
    <w:rsid w:val="20513760"/>
    <w:rsid w:val="210C585F"/>
    <w:rsid w:val="21466048"/>
    <w:rsid w:val="217801D4"/>
    <w:rsid w:val="21945B50"/>
    <w:rsid w:val="22172D5B"/>
    <w:rsid w:val="229D6366"/>
    <w:rsid w:val="22A52F5C"/>
    <w:rsid w:val="22A864B7"/>
    <w:rsid w:val="22E9411D"/>
    <w:rsid w:val="232471B7"/>
    <w:rsid w:val="24BA0ED5"/>
    <w:rsid w:val="256B44B8"/>
    <w:rsid w:val="25816F63"/>
    <w:rsid w:val="25906A02"/>
    <w:rsid w:val="260F7BD5"/>
    <w:rsid w:val="26750569"/>
    <w:rsid w:val="270160A7"/>
    <w:rsid w:val="2718649F"/>
    <w:rsid w:val="276D5221"/>
    <w:rsid w:val="27727666"/>
    <w:rsid w:val="28213C2D"/>
    <w:rsid w:val="28332F52"/>
    <w:rsid w:val="28634254"/>
    <w:rsid w:val="28BF207A"/>
    <w:rsid w:val="29324AC0"/>
    <w:rsid w:val="296D50BC"/>
    <w:rsid w:val="29BB2D42"/>
    <w:rsid w:val="2A0153F7"/>
    <w:rsid w:val="2A286FA7"/>
    <w:rsid w:val="2AB3348F"/>
    <w:rsid w:val="2B306939"/>
    <w:rsid w:val="2B6476C0"/>
    <w:rsid w:val="2B6D7AC8"/>
    <w:rsid w:val="2BA41EF0"/>
    <w:rsid w:val="2BBA099A"/>
    <w:rsid w:val="2C0A0F7A"/>
    <w:rsid w:val="2C31480D"/>
    <w:rsid w:val="2CA92884"/>
    <w:rsid w:val="2D0F127C"/>
    <w:rsid w:val="2D455ECF"/>
    <w:rsid w:val="2D477DB8"/>
    <w:rsid w:val="2D7B1730"/>
    <w:rsid w:val="2E0F013D"/>
    <w:rsid w:val="2E0F523E"/>
    <w:rsid w:val="2E4375E2"/>
    <w:rsid w:val="2E4F733C"/>
    <w:rsid w:val="2E934564"/>
    <w:rsid w:val="2E9C6160"/>
    <w:rsid w:val="2EB5460B"/>
    <w:rsid w:val="2ED7723F"/>
    <w:rsid w:val="2EF43524"/>
    <w:rsid w:val="2F2B506E"/>
    <w:rsid w:val="2F531CCB"/>
    <w:rsid w:val="2FB74A3C"/>
    <w:rsid w:val="2FB83341"/>
    <w:rsid w:val="304E0F14"/>
    <w:rsid w:val="30A47B20"/>
    <w:rsid w:val="30CA397A"/>
    <w:rsid w:val="311B2FCD"/>
    <w:rsid w:val="3152426E"/>
    <w:rsid w:val="318F0698"/>
    <w:rsid w:val="33567593"/>
    <w:rsid w:val="3385728E"/>
    <w:rsid w:val="33AD3A7A"/>
    <w:rsid w:val="33CD61F0"/>
    <w:rsid w:val="33F762A2"/>
    <w:rsid w:val="340E08EC"/>
    <w:rsid w:val="34296642"/>
    <w:rsid w:val="34564C29"/>
    <w:rsid w:val="346C3F48"/>
    <w:rsid w:val="348A66BA"/>
    <w:rsid w:val="34AA4031"/>
    <w:rsid w:val="34D569FF"/>
    <w:rsid w:val="351079DA"/>
    <w:rsid w:val="35AF4898"/>
    <w:rsid w:val="35D521C8"/>
    <w:rsid w:val="35F70F7A"/>
    <w:rsid w:val="35F7586E"/>
    <w:rsid w:val="360C6748"/>
    <w:rsid w:val="36185CAA"/>
    <w:rsid w:val="36F2658D"/>
    <w:rsid w:val="372163DD"/>
    <w:rsid w:val="37724C42"/>
    <w:rsid w:val="380E2F45"/>
    <w:rsid w:val="38701D6A"/>
    <w:rsid w:val="38830B29"/>
    <w:rsid w:val="38AE186A"/>
    <w:rsid w:val="38E73F12"/>
    <w:rsid w:val="3A753487"/>
    <w:rsid w:val="3AD66966"/>
    <w:rsid w:val="3AE17683"/>
    <w:rsid w:val="3B36377E"/>
    <w:rsid w:val="3B4E070F"/>
    <w:rsid w:val="3BE77F2E"/>
    <w:rsid w:val="3BFB5F41"/>
    <w:rsid w:val="3C0C3E21"/>
    <w:rsid w:val="3C532E79"/>
    <w:rsid w:val="3D563E5A"/>
    <w:rsid w:val="3D844824"/>
    <w:rsid w:val="3DA64E8D"/>
    <w:rsid w:val="3DBB5623"/>
    <w:rsid w:val="3DCD2DA3"/>
    <w:rsid w:val="3E3257BD"/>
    <w:rsid w:val="3EE56E05"/>
    <w:rsid w:val="3FB02D1E"/>
    <w:rsid w:val="3FBA4B41"/>
    <w:rsid w:val="3FBB6F9C"/>
    <w:rsid w:val="40C75CFF"/>
    <w:rsid w:val="417A397B"/>
    <w:rsid w:val="41AD7315"/>
    <w:rsid w:val="41CB3FF4"/>
    <w:rsid w:val="41EE433B"/>
    <w:rsid w:val="422A0D38"/>
    <w:rsid w:val="43CC2C95"/>
    <w:rsid w:val="442A4A05"/>
    <w:rsid w:val="443935E8"/>
    <w:rsid w:val="454D3D9E"/>
    <w:rsid w:val="45E31277"/>
    <w:rsid w:val="46045599"/>
    <w:rsid w:val="462043D8"/>
    <w:rsid w:val="46823AB2"/>
    <w:rsid w:val="46DE0976"/>
    <w:rsid w:val="470D623D"/>
    <w:rsid w:val="476A1EF5"/>
    <w:rsid w:val="476B4A24"/>
    <w:rsid w:val="47CC34B9"/>
    <w:rsid w:val="47F13A6D"/>
    <w:rsid w:val="47F348C9"/>
    <w:rsid w:val="487730C0"/>
    <w:rsid w:val="48A03D67"/>
    <w:rsid w:val="493B0B41"/>
    <w:rsid w:val="49523235"/>
    <w:rsid w:val="49600ADC"/>
    <w:rsid w:val="49D84BF3"/>
    <w:rsid w:val="4A896835"/>
    <w:rsid w:val="4B6227DA"/>
    <w:rsid w:val="4B6A2E75"/>
    <w:rsid w:val="4B822B2B"/>
    <w:rsid w:val="4BAB7549"/>
    <w:rsid w:val="4BB10879"/>
    <w:rsid w:val="4DF75B39"/>
    <w:rsid w:val="4DFC6905"/>
    <w:rsid w:val="4E13739E"/>
    <w:rsid w:val="4E4F63D5"/>
    <w:rsid w:val="4EE35A56"/>
    <w:rsid w:val="4F186DD6"/>
    <w:rsid w:val="4F24144B"/>
    <w:rsid w:val="4F280D9C"/>
    <w:rsid w:val="4FFB6F26"/>
    <w:rsid w:val="500D60D4"/>
    <w:rsid w:val="50496B10"/>
    <w:rsid w:val="504A58A0"/>
    <w:rsid w:val="505C2642"/>
    <w:rsid w:val="50734ADE"/>
    <w:rsid w:val="5091716F"/>
    <w:rsid w:val="510237D6"/>
    <w:rsid w:val="515A4263"/>
    <w:rsid w:val="51634487"/>
    <w:rsid w:val="51815E7C"/>
    <w:rsid w:val="526238E1"/>
    <w:rsid w:val="52D71C16"/>
    <w:rsid w:val="53432E7D"/>
    <w:rsid w:val="53A71CBA"/>
    <w:rsid w:val="53DF4E03"/>
    <w:rsid w:val="544E35D6"/>
    <w:rsid w:val="546637CA"/>
    <w:rsid w:val="547268DA"/>
    <w:rsid w:val="54AE6B5C"/>
    <w:rsid w:val="54B6030C"/>
    <w:rsid w:val="54D04568"/>
    <w:rsid w:val="550D1A0A"/>
    <w:rsid w:val="554545F3"/>
    <w:rsid w:val="55C20069"/>
    <w:rsid w:val="57467B2A"/>
    <w:rsid w:val="57E22340"/>
    <w:rsid w:val="581F7D98"/>
    <w:rsid w:val="58942FCE"/>
    <w:rsid w:val="5A6240B5"/>
    <w:rsid w:val="5AA24CBE"/>
    <w:rsid w:val="5B074D34"/>
    <w:rsid w:val="5B2F7910"/>
    <w:rsid w:val="5B982A5F"/>
    <w:rsid w:val="5BC16CCC"/>
    <w:rsid w:val="5BE55C87"/>
    <w:rsid w:val="5C322A6A"/>
    <w:rsid w:val="5D811713"/>
    <w:rsid w:val="5D89202E"/>
    <w:rsid w:val="5DB01170"/>
    <w:rsid w:val="5DBB1574"/>
    <w:rsid w:val="5E0F2952"/>
    <w:rsid w:val="5E2F251F"/>
    <w:rsid w:val="5E87796A"/>
    <w:rsid w:val="5EDF114D"/>
    <w:rsid w:val="5EEA2413"/>
    <w:rsid w:val="5F3318C4"/>
    <w:rsid w:val="5F370153"/>
    <w:rsid w:val="5F9069FD"/>
    <w:rsid w:val="5F913FEF"/>
    <w:rsid w:val="5F9D3DAD"/>
    <w:rsid w:val="5FFE0B67"/>
    <w:rsid w:val="602B1B30"/>
    <w:rsid w:val="60575DE9"/>
    <w:rsid w:val="60920F17"/>
    <w:rsid w:val="60A11E83"/>
    <w:rsid w:val="60CD3291"/>
    <w:rsid w:val="60D54D0F"/>
    <w:rsid w:val="61AA3E91"/>
    <w:rsid w:val="61B94191"/>
    <w:rsid w:val="61BF6E47"/>
    <w:rsid w:val="630068F0"/>
    <w:rsid w:val="631237F3"/>
    <w:rsid w:val="631D7531"/>
    <w:rsid w:val="632C6D6B"/>
    <w:rsid w:val="63364741"/>
    <w:rsid w:val="63536DCA"/>
    <w:rsid w:val="646845A1"/>
    <w:rsid w:val="64746D17"/>
    <w:rsid w:val="64CB4792"/>
    <w:rsid w:val="65CC6185"/>
    <w:rsid w:val="66442C5B"/>
    <w:rsid w:val="667A01B1"/>
    <w:rsid w:val="66D1483C"/>
    <w:rsid w:val="67A864F2"/>
    <w:rsid w:val="67BF306A"/>
    <w:rsid w:val="67F25C7F"/>
    <w:rsid w:val="67FB17E1"/>
    <w:rsid w:val="6807000D"/>
    <w:rsid w:val="6863276E"/>
    <w:rsid w:val="68F32316"/>
    <w:rsid w:val="693944A3"/>
    <w:rsid w:val="694D5C12"/>
    <w:rsid w:val="6996293F"/>
    <w:rsid w:val="69E5535D"/>
    <w:rsid w:val="6A1473E7"/>
    <w:rsid w:val="6AA86B07"/>
    <w:rsid w:val="6BA21028"/>
    <w:rsid w:val="6C58312F"/>
    <w:rsid w:val="6CFF15AA"/>
    <w:rsid w:val="6D402EB3"/>
    <w:rsid w:val="6D9837D9"/>
    <w:rsid w:val="6DE763F3"/>
    <w:rsid w:val="6DEA60F8"/>
    <w:rsid w:val="6E6B61F3"/>
    <w:rsid w:val="6EB66C21"/>
    <w:rsid w:val="6F2F5441"/>
    <w:rsid w:val="70320346"/>
    <w:rsid w:val="7069188A"/>
    <w:rsid w:val="70EA3585"/>
    <w:rsid w:val="711B1434"/>
    <w:rsid w:val="728A4904"/>
    <w:rsid w:val="72B1252A"/>
    <w:rsid w:val="72BF2B88"/>
    <w:rsid w:val="72E1075C"/>
    <w:rsid w:val="73BC703A"/>
    <w:rsid w:val="73D7791E"/>
    <w:rsid w:val="73F638CC"/>
    <w:rsid w:val="74076304"/>
    <w:rsid w:val="748C2D0A"/>
    <w:rsid w:val="75370EA4"/>
    <w:rsid w:val="754F5993"/>
    <w:rsid w:val="755752A2"/>
    <w:rsid w:val="758E67A0"/>
    <w:rsid w:val="75D34FCB"/>
    <w:rsid w:val="764A6635"/>
    <w:rsid w:val="764F0F26"/>
    <w:rsid w:val="764F59B9"/>
    <w:rsid w:val="766C509C"/>
    <w:rsid w:val="77090186"/>
    <w:rsid w:val="776F6900"/>
    <w:rsid w:val="77A65B66"/>
    <w:rsid w:val="77FE2E61"/>
    <w:rsid w:val="783D48C3"/>
    <w:rsid w:val="7881792C"/>
    <w:rsid w:val="78AA0BE5"/>
    <w:rsid w:val="78EB3D1F"/>
    <w:rsid w:val="791C164C"/>
    <w:rsid w:val="79385B87"/>
    <w:rsid w:val="798735BB"/>
    <w:rsid w:val="79882643"/>
    <w:rsid w:val="79CC10AC"/>
    <w:rsid w:val="79DA59A4"/>
    <w:rsid w:val="79E157FB"/>
    <w:rsid w:val="7AA359BC"/>
    <w:rsid w:val="7B217E94"/>
    <w:rsid w:val="7B464001"/>
    <w:rsid w:val="7B83136C"/>
    <w:rsid w:val="7B866A97"/>
    <w:rsid w:val="7BB824A4"/>
    <w:rsid w:val="7BD63B6E"/>
    <w:rsid w:val="7BFF0DE0"/>
    <w:rsid w:val="7C3648D7"/>
    <w:rsid w:val="7C650F60"/>
    <w:rsid w:val="7C8D1A58"/>
    <w:rsid w:val="7D67555F"/>
    <w:rsid w:val="7DF35628"/>
    <w:rsid w:val="7E18713D"/>
    <w:rsid w:val="7E8C5022"/>
    <w:rsid w:val="7F234C25"/>
    <w:rsid w:val="7F5419B7"/>
    <w:rsid w:val="7F546D32"/>
    <w:rsid w:val="7FB15F3A"/>
    <w:rsid w:val="7FC06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4"/>
    <w:qFormat/>
    <w:uiPriority w:val="0"/>
    <w:pPr>
      <w:keepNext/>
      <w:keepLines/>
      <w:spacing w:after="50" w:afterLines="50" w:line="360" w:lineRule="auto"/>
      <w:outlineLvl w:val="1"/>
    </w:pPr>
    <w:rPr>
      <w:rFonts w:ascii="Arial" w:hAnsi="Arial" w:eastAsia="微软雅黑"/>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index 8"/>
    <w:basedOn w:val="1"/>
    <w:next w:val="1"/>
    <w:qFormat/>
    <w:uiPriority w:val="0"/>
    <w:pPr>
      <w:ind w:left="2940"/>
    </w:pPr>
  </w:style>
  <w:style w:type="paragraph" w:styleId="7">
    <w:name w:val="Normal Indent"/>
    <w:basedOn w:val="1"/>
    <w:next w:val="1"/>
    <w:qFormat/>
    <w:uiPriority w:val="0"/>
    <w:pPr>
      <w:ind w:firstLine="420" w:firstLineChars="200"/>
    </w:pPr>
    <w:rPr>
      <w:rFonts w:cs="Calibri"/>
    </w:rPr>
  </w:style>
  <w:style w:type="paragraph" w:styleId="8">
    <w:name w:val="Salutation"/>
    <w:basedOn w:val="1"/>
    <w:next w:val="1"/>
    <w:qFormat/>
    <w:uiPriority w:val="0"/>
    <w:rPr>
      <w:rFonts w:ascii="Calibri" w:hAnsi="Calibri" w:eastAsia="宋体" w:cs="Times New Roman"/>
    </w:rPr>
  </w:style>
  <w:style w:type="paragraph" w:styleId="9">
    <w:name w:val="Body Text"/>
    <w:basedOn w:val="1"/>
    <w:unhideWhenUsed/>
    <w:qFormat/>
    <w:uiPriority w:val="99"/>
    <w:pPr>
      <w:spacing w:after="120"/>
    </w:pPr>
  </w:style>
  <w:style w:type="paragraph" w:styleId="10">
    <w:name w:val="Body Text Indent"/>
    <w:basedOn w:val="1"/>
    <w:qFormat/>
    <w:uiPriority w:val="0"/>
    <w:pPr>
      <w:tabs>
        <w:tab w:val="left" w:pos="360"/>
      </w:tabs>
      <w:spacing w:line="360" w:lineRule="auto"/>
      <w:ind w:firstLine="673" w:firstLineChars="187"/>
    </w:pPr>
    <w:rPr>
      <w:rFonts w:ascii="宋体" w:hAnsi="宋体" w:eastAsia="仿宋_GB2312"/>
      <w:sz w:val="36"/>
      <w:szCs w:val="20"/>
    </w:rPr>
  </w:style>
  <w:style w:type="paragraph" w:styleId="11">
    <w:name w:val="List 2"/>
    <w:basedOn w:val="1"/>
    <w:qFormat/>
    <w:uiPriority w:val="0"/>
    <w:pPr>
      <w:ind w:left="840" w:hanging="420"/>
    </w:pPr>
    <w:rPr>
      <w:sz w:val="28"/>
    </w:rPr>
  </w:style>
  <w:style w:type="paragraph" w:styleId="12">
    <w:name w:val="Plain Text"/>
    <w:basedOn w:val="1"/>
    <w:next w:val="6"/>
    <w:qFormat/>
    <w:uiPriority w:val="0"/>
    <w:rPr>
      <w:rFonts w:ascii="宋体" w:hAnsi="Courier New" w:cs="Courier New"/>
      <w:szCs w:val="21"/>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Body Text First Indent"/>
    <w:basedOn w:val="9"/>
    <w:qFormat/>
    <w:uiPriority w:val="0"/>
    <w:pPr>
      <w:spacing w:after="0" w:line="500" w:lineRule="exact"/>
      <w:ind w:firstLine="420"/>
    </w:pPr>
    <w:rPr>
      <w:rFonts w:ascii="Calibri" w:hAnsi="Calibri" w:eastAsia="楷体_GB2312" w:cs="Times New Roman"/>
      <w:sz w:val="28"/>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basedOn w:val="19"/>
    <w:qFormat/>
    <w:uiPriority w:val="0"/>
    <w:rPr>
      <w:color w:val="0000FF"/>
      <w:u w:val="single"/>
    </w:rPr>
  </w:style>
  <w:style w:type="paragraph" w:customStyle="1" w:styleId="23">
    <w:name w:val="Default"/>
    <w:basedOn w:val="24"/>
    <w:next w:val="1"/>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szCs w:val="22"/>
      <w:lang w:val="en-US" w:eastAsia="zh-CN" w:bidi="ar-SA"/>
    </w:rPr>
  </w:style>
  <w:style w:type="paragraph" w:customStyle="1" w:styleId="24">
    <w:name w:val="纯文本1"/>
    <w:basedOn w:val="1"/>
    <w:qFormat/>
    <w:uiPriority w:val="0"/>
    <w:pPr>
      <w:textAlignment w:val="baseline"/>
    </w:pPr>
    <w:rPr>
      <w:rFonts w:ascii="宋体" w:hAnsi="Courier New" w:eastAsia="宋体" w:cs="Times New Roman"/>
    </w:rPr>
  </w:style>
  <w:style w:type="paragraph" w:customStyle="1" w:styleId="25">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26">
    <w:name w:val="样式 0正文 + 首行缩进:  2 字符1"/>
    <w:basedOn w:val="1"/>
    <w:qFormat/>
    <w:uiPriority w:val="0"/>
    <w:pPr>
      <w:spacing w:line="360" w:lineRule="auto"/>
      <w:ind w:firstLine="200" w:firstLineChars="200"/>
    </w:pPr>
    <w:rPr>
      <w:sz w:val="28"/>
      <w:szCs w:val="28"/>
    </w:rPr>
  </w:style>
  <w:style w:type="paragraph" w:customStyle="1" w:styleId="27">
    <w:name w:val="Heading3"/>
    <w:basedOn w:val="1"/>
    <w:next w:val="1"/>
    <w:qFormat/>
    <w:uiPriority w:val="0"/>
    <w:pPr>
      <w:spacing w:before="100" w:beforeAutospacing="1" w:after="100" w:afterAutospacing="1"/>
      <w:jc w:val="left"/>
      <w:textAlignment w:val="baseline"/>
    </w:pPr>
    <w:rPr>
      <w:rFonts w:ascii="宋体" w:hAnsi="Calibri"/>
      <w:b/>
      <w:kern w:val="0"/>
      <w:sz w:val="27"/>
      <w:szCs w:val="27"/>
      <w:lang w:val="en-US" w:eastAsia="zh-CN" w:bidi="ar-SA"/>
    </w:rPr>
  </w:style>
  <w:style w:type="paragraph" w:customStyle="1" w:styleId="28">
    <w:name w:val="Body text|1"/>
    <w:basedOn w:val="1"/>
    <w:qFormat/>
    <w:uiPriority w:val="0"/>
    <w:pPr>
      <w:widowControl w:val="0"/>
      <w:shd w:val="clear" w:color="auto" w:fill="auto"/>
      <w:spacing w:line="394" w:lineRule="auto"/>
      <w:ind w:firstLine="320"/>
    </w:pPr>
    <w:rPr>
      <w:rFonts w:ascii="宋体" w:hAnsi="宋体" w:eastAsia="宋体" w:cs="宋体"/>
      <w:sz w:val="30"/>
      <w:szCs w:val="30"/>
      <w:u w:val="none"/>
      <w:shd w:val="clear" w:color="auto" w:fill="auto"/>
      <w:lang w:val="zh-TW" w:eastAsia="zh-TW" w:bidi="zh-TW"/>
    </w:rPr>
  </w:style>
  <w:style w:type="paragraph" w:customStyle="1" w:styleId="29">
    <w:name w:val="样式3"/>
    <w:basedOn w:val="1"/>
    <w:qFormat/>
    <w:uiPriority w:val="0"/>
    <w:pPr>
      <w:spacing w:line="500" w:lineRule="exact"/>
      <w:ind w:firstLine="601"/>
      <w:outlineLvl w:val="0"/>
    </w:pPr>
    <w:rPr>
      <w:rFonts w:ascii="宋体" w:hAnsi="宋体"/>
      <w:b/>
      <w:spacing w:val="10"/>
      <w:sz w:val="28"/>
      <w:szCs w:val="20"/>
    </w:rPr>
  </w:style>
  <w:style w:type="paragraph" w:customStyle="1" w:styleId="30">
    <w:name w:val="A正文"/>
    <w:basedOn w:val="1"/>
    <w:qFormat/>
    <w:uiPriority w:val="0"/>
    <w:pPr>
      <w:spacing w:line="360" w:lineRule="auto"/>
      <w:ind w:firstLine="480" w:firstLineChars="200"/>
      <w:textAlignment w:val="baseline"/>
    </w:pPr>
    <w:rPr>
      <w:sz w:val="24"/>
    </w:rPr>
  </w:style>
  <w:style w:type="paragraph" w:customStyle="1" w:styleId="31">
    <w:name w:val="UserStyle_21"/>
    <w:basedOn w:val="1"/>
    <w:qFormat/>
    <w:uiPriority w:val="0"/>
    <w:pPr>
      <w:widowControl/>
      <w:spacing w:line="360" w:lineRule="auto"/>
      <w:ind w:firstLine="480" w:firstLineChars="200"/>
      <w:textAlignment w:val="baseline"/>
    </w:pPr>
    <w:rPr>
      <w:rFonts w:cs="Times New Roman"/>
      <w:sz w:val="24"/>
    </w:rPr>
  </w:style>
  <w:style w:type="character" w:customStyle="1" w:styleId="32">
    <w:name w:val="NormalCharacter"/>
    <w:semiHidden/>
    <w:qFormat/>
    <w:uiPriority w:val="0"/>
  </w:style>
  <w:style w:type="character" w:customStyle="1" w:styleId="33">
    <w:name w:val="纯文本 Char1"/>
    <w:basedOn w:val="19"/>
    <w:qFormat/>
    <w:uiPriority w:val="0"/>
    <w:rPr>
      <w:rFonts w:ascii="宋体" w:hAnsi="Courier New" w:eastAsia="宋体"/>
      <w:kern w:val="2"/>
      <w:sz w:val="28"/>
      <w:lang w:val="en-US" w:eastAsia="zh-CN" w:bidi="ar-SA"/>
    </w:rPr>
  </w:style>
  <w:style w:type="paragraph" w:customStyle="1" w:styleId="34">
    <w:name w:val="*正文"/>
    <w:qFormat/>
    <w:uiPriority w:val="0"/>
    <w:pPr>
      <w:spacing w:line="360" w:lineRule="auto"/>
      <w:ind w:firstLine="200" w:firstLineChars="200"/>
      <w:jc w:val="both"/>
      <w:textAlignment w:val="baseline"/>
    </w:pPr>
    <w:rPr>
      <w:rFonts w:ascii="Times New Roman" w:hAnsi="Times New Roman" w:eastAsia="宋体" w:cs="Times New Roman"/>
      <w:color w:val="000000"/>
      <w:sz w:val="24"/>
      <w:szCs w:val="22"/>
      <w:lang w:val="en-US" w:eastAsia="zh-CN" w:bidi="ar-SA"/>
    </w:rPr>
  </w:style>
  <w:style w:type="paragraph" w:customStyle="1" w:styleId="35">
    <w:name w:val="正文格式（广西）"/>
    <w:basedOn w:val="1"/>
    <w:qFormat/>
    <w:uiPriority w:val="0"/>
    <w:pPr>
      <w:spacing w:line="360" w:lineRule="auto"/>
      <w:ind w:firstLine="560" w:firstLineChars="200"/>
      <w:jc w:val="left"/>
    </w:pPr>
    <w:rPr>
      <w:rFonts w:ascii="宋体" w:hAnsi="宋体" w:cs="仿宋_GB2312"/>
      <w:sz w:val="28"/>
      <w:szCs w:val="28"/>
    </w:rPr>
  </w:style>
  <w:style w:type="table" w:customStyle="1" w:styleId="36">
    <w:name w:val="Table Normal"/>
    <w:unhideWhenUsed/>
    <w:qFormat/>
    <w:uiPriority w:val="0"/>
    <w:tblPr>
      <w:tblCellMar>
        <w:top w:w="0" w:type="dxa"/>
        <w:left w:w="0" w:type="dxa"/>
        <w:bottom w:w="0" w:type="dxa"/>
        <w:right w:w="0" w:type="dxa"/>
      </w:tblCellMar>
    </w:tblPr>
  </w:style>
  <w:style w:type="paragraph" w:customStyle="1" w:styleId="37">
    <w:name w:val="_Style 2"/>
    <w:basedOn w:val="1"/>
    <w:qFormat/>
    <w:uiPriority w:val="34"/>
    <w:pPr>
      <w:ind w:firstLine="420" w:firstLineChars="200"/>
    </w:pPr>
  </w:style>
  <w:style w:type="character" w:customStyle="1" w:styleId="38">
    <w:name w:val="fontstyle01"/>
    <w:basedOn w:val="19"/>
    <w:qFormat/>
    <w:uiPriority w:val="0"/>
    <w:rPr>
      <w:rFonts w:ascii="仿宋_GB2312" w:hAnsi="仿宋_GB2312" w:eastAsia="仿宋_GB2312" w:cs="仿宋_GB2312"/>
      <w:color w:val="000000"/>
      <w:sz w:val="52"/>
      <w:szCs w:val="52"/>
    </w:rPr>
  </w:style>
  <w:style w:type="paragraph" w:customStyle="1" w:styleId="39">
    <w:name w:val="p0"/>
    <w:qFormat/>
    <w:uiPriority w:val="0"/>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Words>
  <Characters>1102</Characters>
  <Lines>9</Lines>
  <Paragraphs>2</Paragraphs>
  <TotalTime>4</TotalTime>
  <ScaleCrop>false</ScaleCrop>
  <LinksUpToDate>false</LinksUpToDate>
  <CharactersWithSpaces>1293</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LTKJ</cp:lastModifiedBy>
  <cp:lastPrinted>2023-08-08T10:06:00Z</cp:lastPrinted>
  <dcterms:modified xsi:type="dcterms:W3CDTF">2024-01-31T03:26:10Z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F8E1CD2EE6C54D5395979E0A1829E824</vt:lpwstr>
  </property>
</Properties>
</file>