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16" w:tblpY="86"/>
        <w:tblOverlap w:val="never"/>
        <w:tblW w:w="13513" w:type="dxa"/>
        <w:tblInd w:w="0" w:type="dxa"/>
        <w:shd w:val="clear" w:color="auto" w:fill="auto"/>
        <w:tblLayout w:type="autofit"/>
        <w:tblCellMar>
          <w:top w:w="0" w:type="dxa"/>
          <w:left w:w="0" w:type="dxa"/>
          <w:bottom w:w="0" w:type="dxa"/>
          <w:right w:w="0" w:type="dxa"/>
        </w:tblCellMar>
      </w:tblPr>
      <w:tblGrid>
        <w:gridCol w:w="1098"/>
        <w:gridCol w:w="389"/>
        <w:gridCol w:w="1061"/>
        <w:gridCol w:w="2090"/>
        <w:gridCol w:w="1187"/>
        <w:gridCol w:w="2213"/>
        <w:gridCol w:w="1487"/>
        <w:gridCol w:w="1288"/>
        <w:gridCol w:w="475"/>
        <w:gridCol w:w="325"/>
        <w:gridCol w:w="487"/>
        <w:gridCol w:w="513"/>
        <w:gridCol w:w="512"/>
        <w:gridCol w:w="388"/>
      </w:tblGrid>
      <w:tr>
        <w:tblPrEx>
          <w:shd w:val="clear" w:color="auto" w:fill="auto"/>
          <w:tblCellMar>
            <w:top w:w="0" w:type="dxa"/>
            <w:left w:w="0" w:type="dxa"/>
            <w:bottom w:w="0" w:type="dxa"/>
            <w:right w:w="0" w:type="dxa"/>
          </w:tblCellMar>
        </w:tblPrEx>
        <w:trPr>
          <w:trHeight w:val="2501" w:hRule="atLeast"/>
        </w:trPr>
        <w:tc>
          <w:tcPr>
            <w:tcW w:w="13513"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方正小标宋简体" w:hAnsi="方正小标宋简体" w:eastAsia="方正小标宋简体" w:cs="方正小标宋简体"/>
                <w:b w:val="0"/>
                <w:bCs w:val="0"/>
                <w:sz w:val="44"/>
                <w:szCs w:val="44"/>
                <w:lang w:val="en-US" w:eastAsia="zh-CN"/>
              </w:rPr>
              <w:t>八步区</w:t>
            </w:r>
            <w:r>
              <w:rPr>
                <w:rFonts w:hint="default" w:ascii="方正小标宋简体" w:hAnsi="方正小标宋简体" w:eastAsia="方正小标宋简体" w:cs="方正小标宋简体"/>
                <w:b w:val="0"/>
                <w:bCs w:val="0"/>
                <w:sz w:val="44"/>
                <w:szCs w:val="44"/>
                <w:lang w:val="en-US" w:eastAsia="zh-CN"/>
              </w:rPr>
              <w:t>救灾领域基层政务公开标准目录</w:t>
            </w:r>
          </w:p>
        </w:tc>
      </w:tr>
      <w:tr>
        <w:tblPrEx>
          <w:shd w:val="clear" w:color="auto" w:fill="auto"/>
          <w:tblCellMar>
            <w:top w:w="0" w:type="dxa"/>
            <w:left w:w="0" w:type="dxa"/>
            <w:bottom w:w="0" w:type="dxa"/>
            <w:right w:w="0" w:type="dxa"/>
          </w:tblCellMar>
        </w:tblPrEx>
        <w:trPr>
          <w:trHeight w:val="583" w:hRule="atLeast"/>
        </w:trPr>
        <w:tc>
          <w:tcPr>
            <w:tcW w:w="2548"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公开事项</w:t>
            </w:r>
          </w:p>
        </w:tc>
        <w:tc>
          <w:tcPr>
            <w:tcW w:w="209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公开内容</w:t>
            </w:r>
          </w:p>
        </w:tc>
        <w:tc>
          <w:tcPr>
            <w:tcW w:w="118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公开主体</w:t>
            </w:r>
          </w:p>
        </w:tc>
        <w:tc>
          <w:tcPr>
            <w:tcW w:w="221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公开依据</w:t>
            </w:r>
          </w:p>
        </w:tc>
        <w:tc>
          <w:tcPr>
            <w:tcW w:w="148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公开时限</w:t>
            </w:r>
          </w:p>
        </w:tc>
        <w:tc>
          <w:tcPr>
            <w:tcW w:w="128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公开渠道和载体</w:t>
            </w:r>
          </w:p>
        </w:tc>
        <w:tc>
          <w:tcPr>
            <w:tcW w:w="80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公开对象</w:t>
            </w:r>
          </w:p>
        </w:tc>
        <w:tc>
          <w:tcPr>
            <w:tcW w:w="100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公开方式</w:t>
            </w:r>
          </w:p>
        </w:tc>
        <w:tc>
          <w:tcPr>
            <w:tcW w:w="90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364"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一级事项</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二级事项</w:t>
            </w:r>
          </w:p>
        </w:tc>
        <w:tc>
          <w:tcPr>
            <w:tcW w:w="20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1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221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全社会</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特定群体</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主动</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依申请</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县级</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乡级</w:t>
            </w:r>
          </w:p>
        </w:tc>
      </w:tr>
      <w:tr>
        <w:tblPrEx>
          <w:shd w:val="clear" w:color="auto" w:fill="auto"/>
          <w:tblCellMar>
            <w:top w:w="0" w:type="dxa"/>
            <w:left w:w="0" w:type="dxa"/>
            <w:bottom w:w="0" w:type="dxa"/>
            <w:right w:w="0" w:type="dxa"/>
          </w:tblCellMar>
        </w:tblPrEx>
        <w:trPr>
          <w:trHeight w:val="1918" w:hRule="atLeast"/>
        </w:trPr>
        <w:tc>
          <w:tcPr>
            <w:tcW w:w="10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与救灾有关的法律、法规</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35"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与救灾有关的部门和地方规章、规范性文件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70"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其他可以公开的与救灾有关的政策文件，包括改革方案、发展规划、专项规划、工作计划等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13" w:hRule="atLeast"/>
        </w:trPr>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救灾领域有关的国家标准、行业标准、地方标准等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r>
      <w:tr>
        <w:tblPrEx>
          <w:shd w:val="clear" w:color="auto" w:fill="auto"/>
          <w:tblCellMar>
            <w:top w:w="0" w:type="dxa"/>
            <w:left w:w="0" w:type="dxa"/>
            <w:bottom w:w="0" w:type="dxa"/>
            <w:right w:w="0" w:type="dxa"/>
          </w:tblCellMar>
        </w:tblPrEx>
        <w:trPr>
          <w:trHeight w:val="2366" w:hRule="atLeast"/>
        </w:trPr>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065" w:hRule="atLeast"/>
        </w:trPr>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●有关重大政策的解读及回应</w:t>
            </w:r>
            <w:r>
              <w:rPr>
                <w:rStyle w:val="5"/>
                <w:rFonts w:hint="eastAsia" w:ascii="宋体" w:hAnsi="宋体" w:eastAsia="宋体" w:cs="宋体"/>
                <w:b w:val="0"/>
                <w:bCs/>
                <w:lang w:val="en-US" w:eastAsia="zh-CN" w:bidi="ar"/>
              </w:rPr>
              <w:t xml:space="preserve">                       ●相关热点问题的解读及回应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94" w:hRule="atLeast"/>
        </w:trPr>
        <w:tc>
          <w:tcPr>
            <w:tcW w:w="10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■便民服务站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58"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267"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灾害信息员队伍</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县乡两级灾害信息员工作职责和办公电话</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r>
      <w:tr>
        <w:tblPrEx>
          <w:shd w:val="clear" w:color="auto" w:fill="auto"/>
          <w:tblCellMar>
            <w:top w:w="0" w:type="dxa"/>
            <w:left w:w="0" w:type="dxa"/>
            <w:bottom w:w="0" w:type="dxa"/>
            <w:right w:w="0" w:type="dxa"/>
          </w:tblCellMar>
        </w:tblPrEx>
        <w:trPr>
          <w:trHeight w:val="3462" w:hRule="atLeast"/>
        </w:trPr>
        <w:tc>
          <w:tcPr>
            <w:tcW w:w="10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灾情核定信息</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本行政区域内因自然灾害造成的损失情况（受灾时间、灾害种类、受灾范围、灾害造成的损失等）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bookmarkStart w:id="0" w:name="_GoBack"/>
            <w:bookmarkEnd w:id="0"/>
            <w:r>
              <w:rPr>
                <w:rFonts w:hint="eastAsia" w:ascii="宋体" w:hAnsi="宋体" w:cs="宋体"/>
                <w:b w:val="0"/>
                <w:bCs/>
                <w:i w:val="0"/>
                <w:color w:val="000000"/>
                <w:kern w:val="0"/>
                <w:sz w:val="18"/>
                <w:szCs w:val="18"/>
                <w:u w:val="none"/>
                <w:lang w:val="en-US" w:eastAsia="zh-CN" w:bidi="ar"/>
              </w:rPr>
              <w:t>自然灾害救助条例</w:t>
            </w:r>
            <w:r>
              <w:rPr>
                <w:rFonts w:hint="eastAsia" w:ascii="宋体" w:hAnsi="宋体" w:eastAsia="宋体" w:cs="宋体"/>
                <w:b w:val="0"/>
                <w:bCs/>
                <w:i w:val="0"/>
                <w:color w:val="000000"/>
                <w:kern w:val="0"/>
                <w:sz w:val="18"/>
                <w:szCs w:val="18"/>
                <w:u w:val="none"/>
                <w:lang w:val="en-US" w:eastAsia="zh-CN" w:bidi="ar"/>
              </w:rPr>
              <w:t>》（国务院令第577号）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r>
      <w:tr>
        <w:tblPrEx>
          <w:shd w:val="clear" w:color="auto" w:fill="auto"/>
          <w:tblCellMar>
            <w:top w:w="0" w:type="dxa"/>
            <w:left w:w="0" w:type="dxa"/>
            <w:bottom w:w="0" w:type="dxa"/>
            <w:right w:w="0" w:type="dxa"/>
          </w:tblCellMar>
        </w:tblPrEx>
        <w:trPr>
          <w:trHeight w:val="2734"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救助审定信息</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自然灾害救助（6类）的救助对象、申报材料、办理程序及时限等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宋体" w:hAnsi="宋体" w:cs="宋体"/>
                <w:b w:val="0"/>
                <w:bCs/>
                <w:i w:val="0"/>
                <w:color w:val="000000"/>
                <w:kern w:val="0"/>
                <w:sz w:val="18"/>
                <w:szCs w:val="18"/>
                <w:u w:val="none"/>
                <w:lang w:val="en-US" w:eastAsia="zh-CN" w:bidi="ar"/>
              </w:rPr>
              <w:t>自然灾害救助条例</w:t>
            </w:r>
            <w:r>
              <w:rPr>
                <w:rFonts w:hint="eastAsia" w:ascii="宋体" w:hAnsi="宋体" w:eastAsia="宋体" w:cs="宋体"/>
                <w:b w:val="0"/>
                <w:bCs/>
                <w:i w:val="0"/>
                <w:color w:val="000000"/>
                <w:kern w:val="0"/>
                <w:sz w:val="18"/>
                <w:szCs w:val="18"/>
                <w:u w:val="none"/>
                <w:lang w:val="en-US" w:eastAsia="zh-CN" w:bidi="ar"/>
              </w:rPr>
              <w:t>》（国务院令第577号）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35"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应急管理部门审批</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救助款物通知及划拨情况</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宋体" w:hAnsi="宋体" w:cs="宋体"/>
                <w:b w:val="0"/>
                <w:bCs/>
                <w:i w:val="0"/>
                <w:color w:val="000000"/>
                <w:kern w:val="0"/>
                <w:sz w:val="18"/>
                <w:szCs w:val="18"/>
                <w:u w:val="none"/>
                <w:lang w:val="en-US" w:eastAsia="zh-CN" w:bidi="ar"/>
              </w:rPr>
              <w:t>自然灾害救助条例</w:t>
            </w:r>
            <w:r>
              <w:rPr>
                <w:rFonts w:hint="eastAsia" w:ascii="宋体" w:hAnsi="宋体" w:eastAsia="宋体" w:cs="宋体"/>
                <w:b w:val="0"/>
                <w:bCs/>
                <w:i w:val="0"/>
                <w:color w:val="000000"/>
                <w:kern w:val="0"/>
                <w:sz w:val="18"/>
                <w:szCs w:val="18"/>
                <w:u w:val="none"/>
                <w:lang w:val="en-US" w:eastAsia="zh-CN" w:bidi="ar"/>
              </w:rPr>
              <w:t>》（国务院令第577号）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687" w:hRule="atLeast"/>
        </w:trPr>
        <w:tc>
          <w:tcPr>
            <w:tcW w:w="10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宋体" w:hAnsi="宋体" w:cs="宋体"/>
                <w:b w:val="0"/>
                <w:bCs/>
                <w:i w:val="0"/>
                <w:color w:val="000000"/>
                <w:kern w:val="0"/>
                <w:sz w:val="18"/>
                <w:szCs w:val="18"/>
                <w:u w:val="none"/>
                <w:lang w:val="en-US" w:eastAsia="zh-CN" w:bidi="ar"/>
              </w:rPr>
              <w:t>自然灾害救助条例</w:t>
            </w:r>
            <w:r>
              <w:rPr>
                <w:rFonts w:hint="eastAsia" w:ascii="宋体" w:hAnsi="宋体" w:eastAsia="宋体" w:cs="宋体"/>
                <w:b w:val="0"/>
                <w:bCs/>
                <w:i w:val="0"/>
                <w:color w:val="000000"/>
                <w:kern w:val="0"/>
                <w:sz w:val="18"/>
                <w:szCs w:val="18"/>
                <w:u w:val="none"/>
                <w:lang w:val="en-US" w:eastAsia="zh-CN" w:bidi="ar"/>
              </w:rPr>
              <w:t>》（国务院令第577号）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444" w:hRule="atLeast"/>
        </w:trPr>
        <w:tc>
          <w:tcPr>
            <w:tcW w:w="10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宋体" w:hAnsi="宋体" w:cs="宋体"/>
                <w:b w:val="0"/>
                <w:bCs/>
                <w:i w:val="0"/>
                <w:color w:val="000000"/>
                <w:kern w:val="0"/>
                <w:sz w:val="18"/>
                <w:szCs w:val="18"/>
                <w:u w:val="none"/>
                <w:lang w:val="en-US" w:eastAsia="zh-CN" w:bidi="ar"/>
              </w:rPr>
              <w:t>自然灾害救助条例</w:t>
            </w:r>
            <w:r>
              <w:rPr>
                <w:rFonts w:hint="eastAsia" w:ascii="宋体" w:hAnsi="宋体" w:eastAsia="宋体" w:cs="宋体"/>
                <w:b w:val="0"/>
                <w:bCs/>
                <w:i w:val="0"/>
                <w:color w:val="000000"/>
                <w:kern w:val="0"/>
                <w:sz w:val="18"/>
                <w:szCs w:val="18"/>
                <w:u w:val="none"/>
                <w:lang w:val="en-US" w:eastAsia="zh-CN" w:bidi="ar"/>
              </w:rPr>
              <w:t>》（国务院令第577号）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1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捐赠款物信息</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年度捐赠款物信息以及款物使用情况</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 xml:space="preserve">■公开查阅点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3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年度款物使用情况</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年度救灾资金和救灾物资等使用情况</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8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工作动态</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工作信息</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防灾减灾救灾其他相关动态信息</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w:t>
            </w:r>
            <w:r>
              <w:rPr>
                <w:rFonts w:hint="eastAsia" w:ascii="宋体" w:hAnsi="宋体" w:cs="宋体"/>
                <w:b w:val="0"/>
                <w:bCs/>
                <w:i w:val="0"/>
                <w:color w:val="000000"/>
                <w:kern w:val="0"/>
                <w:sz w:val="18"/>
                <w:szCs w:val="18"/>
                <w:u w:val="none"/>
                <w:lang w:val="en-US" w:eastAsia="zh-CN" w:bidi="ar"/>
              </w:rPr>
              <w:t>管理</w:t>
            </w:r>
            <w:r>
              <w:rPr>
                <w:rFonts w:hint="eastAsia" w:ascii="宋体" w:hAnsi="宋体" w:eastAsia="宋体" w:cs="宋体"/>
                <w:b w:val="0"/>
                <w:bCs/>
                <w:i w:val="0"/>
                <w:color w:val="000000"/>
                <w:kern w:val="0"/>
                <w:sz w:val="18"/>
                <w:szCs w:val="18"/>
                <w:u w:val="none"/>
                <w:lang w:val="en-US" w:eastAsia="zh-CN" w:bidi="ar"/>
              </w:rPr>
              <w:t>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i w:val="0"/>
          <w:color w:val="000000"/>
          <w:kern w:val="0"/>
          <w:sz w:val="32"/>
          <w:szCs w:val="32"/>
          <w:u w:val="none"/>
          <w:lang w:val="en-US" w:eastAsia="zh-CN" w:bidi="ar"/>
        </w:rPr>
      </w:pPr>
    </w:p>
    <w:p>
      <w:pPr>
        <w:rPr>
          <w:rFonts w:hint="eastAsia" w:ascii="宋体" w:hAnsi="宋体" w:eastAsia="宋体" w:cs="宋体"/>
          <w:b w:val="0"/>
          <w:bCs/>
        </w:rPr>
      </w:pPr>
    </w:p>
    <w:p>
      <w:pPr>
        <w:rPr>
          <w:rFonts w:hint="eastAsia" w:ascii="宋体" w:hAnsi="宋体" w:eastAsia="宋体" w:cs="宋体"/>
          <w:b w:val="0"/>
          <w:bCs/>
          <w:color w:val="auto"/>
        </w:rPr>
      </w:pPr>
    </w:p>
    <w:p>
      <w:pPr>
        <w:pStyle w:val="2"/>
        <w:rPr>
          <w:rFonts w:hint="eastAsia" w:ascii="宋体" w:hAnsi="宋体" w:eastAsia="宋体" w:cs="宋体"/>
          <w:b w:val="0"/>
          <w:bCs/>
          <w:color w:val="auto"/>
        </w:rPr>
      </w:pPr>
    </w:p>
    <w:p>
      <w:pPr>
        <w:rPr>
          <w:rFonts w:hint="eastAsia" w:ascii="宋体" w:hAnsi="宋体" w:eastAsia="宋体" w:cs="宋体"/>
          <w:b w:val="0"/>
          <w:bCs/>
          <w:color w:val="auto"/>
        </w:rPr>
      </w:pPr>
    </w:p>
    <w:p>
      <w:pPr>
        <w:pStyle w:val="2"/>
        <w:rPr>
          <w:rFonts w:hint="eastAsia" w:ascii="宋体" w:hAnsi="宋体" w:eastAsia="宋体" w:cs="宋体"/>
          <w:b w:val="0"/>
          <w:bCs/>
          <w:color w:val="auto"/>
        </w:rPr>
      </w:pPr>
    </w:p>
    <w:p>
      <w:pPr>
        <w:rPr>
          <w:rFonts w:hint="eastAsia" w:ascii="宋体" w:hAnsi="宋体" w:eastAsia="宋体" w:cs="宋体"/>
          <w:b w:val="0"/>
          <w:bCs/>
          <w:color w:val="auto"/>
        </w:rPr>
      </w:pPr>
    </w:p>
    <w:p>
      <w:pPr>
        <w:pStyle w:val="2"/>
        <w:rPr>
          <w:rFonts w:hint="eastAsia" w:ascii="宋体" w:hAnsi="宋体" w:eastAsia="宋体" w:cs="宋体"/>
          <w:b w:val="0"/>
          <w:bCs/>
          <w:color w:val="auto"/>
        </w:rPr>
      </w:pPr>
    </w:p>
    <w:p>
      <w:pPr>
        <w:rPr>
          <w:rFonts w:hint="eastAsia" w:ascii="宋体" w:hAnsi="宋体" w:eastAsia="宋体" w:cs="宋体"/>
          <w:b w:val="0"/>
          <w:bCs/>
          <w:color w:val="auto"/>
        </w:rPr>
      </w:pPr>
    </w:p>
    <w:p>
      <w:pPr>
        <w:pStyle w:val="2"/>
        <w:rPr>
          <w:rFonts w:hint="eastAsia" w:ascii="宋体" w:hAnsi="宋体" w:eastAsia="宋体" w:cs="宋体"/>
          <w:b w:val="0"/>
          <w:bCs/>
          <w:color w:val="auto"/>
        </w:rPr>
      </w:pPr>
    </w:p>
    <w:p>
      <w:pPr>
        <w:pStyle w:val="2"/>
        <w:rPr>
          <w:rFonts w:hint="eastAsia"/>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53030"/>
    <w:rsid w:val="2E881486"/>
    <w:rsid w:val="3957184B"/>
    <w:rsid w:val="70653030"/>
    <w:rsid w:val="783E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5">
    <w:name w:val="font01"/>
    <w:basedOn w:val="4"/>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2020-12-10T09:26:00Z</dcterms:created>
  <dc:creator>雨夜聆风</dc:creator>
  <cp:lastModifiedBy>应急管理局</cp:lastModifiedBy>
  <cp:lastPrinted>2021-12-22T01:31:00Z</cp:lastPrinted>
  <dcterms:modified xsi:type="dcterms:W3CDTF">2025-02-08T00:56:19Z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6340383548C94720A2A3CF2730B09C19</vt:lpwstr>
  </property>
</Properties>
</file>